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физической культуры и спорта Ульяновской области от 14.08.2023 N 43-п</w:t>
              <w:br/>
              <w:t xml:space="preserve">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августа 2023 г. N 43-п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</w:t>
      </w:r>
      <w:hyperlink w:history="0" r:id="rId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12.01.1996 N 7-ФЗ "О некоммерческих организациях",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Приказ 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услуг" от 20.09.2021 N 22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Р.Е.ЕГОРОВ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14 августа 2023 г. N 43-п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УЛЬЯНОВСКОЙ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предоставления Министерством физической культуры и спорта Ульяновской области (далее - уполномоченный орган) государственной услуги по оценке качества оказываемых социально ориентированной некоммерческой организацией общественно полезных услуг в соответствии с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Административный регламент, государственная услуга, ОПУ соответственно).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социально ориентированным некоммерческим организациям, оказывающим ОПУ, оценка качества оказания которых относится к компетенции уполномоченного органа 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созданным в предусмотренных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ОПУ надлежащего качества на протяжении 1 (одного) года и более (не менее чем 1 (один) год, предшествующий дате подачи заявления о предоставлении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в соответствии с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N 1096) следующие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спортивная подготовка по спорту глухих;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спортивная подготовка по спорту лиц с интеллектуальными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спортивная подготовка по спорту лиц с поражением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спортивная подготовка по спорту слепых;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спортивная подготовка по футболу лиц с заболеванием церебральным параличом;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занятий физкультурно-спортивной направленности по месту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организации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официальных физкультурных (физкультурно-оздоровительных)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доступа к спортивным объектам;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и проведение мероприятий по военно-прикладным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и проведение мероприятий по служебно-прикладным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и обеспечение экспериментальной и инновационной деятельности в области физкультуры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организация и проведение всероссийских смотров физической подготовки граждан допризывного и призывного возрастов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реализация дополнительных предпрофессиональных программ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лица соответствующей организации выступает ее руководитель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заявителя может выступать его представитель, имеющий право действовать от имени заявителя в соответствии с законодательством Российской Федерации (далее - представитель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исполнительным органом (далее - профилирование), а также результата предоставления государственной услуги, за получением которого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в соответствии с </w:t>
      </w:r>
      <w:hyperlink w:history="0" w:anchor="P497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таблицей N 2</w:t>
        </w:r>
      </w:hyperlink>
      <w:r>
        <w:rPr>
          <w:sz w:val="20"/>
        </w:rPr>
        <w:t xml:space="preserve"> приложения N 1 к настоящему Административному регламенту, исходя из установленных в </w:t>
      </w:r>
      <w:hyperlink w:history="0" w:anchor="P483" w:tooltip="Таблица 1. Перечень признаков заявителя">
        <w:r>
          <w:rPr>
            <w:sz w:val="20"/>
            <w:color w:val="0000ff"/>
          </w:rPr>
          <w:t xml:space="preserve">таблице N 1</w:t>
        </w:r>
      </w:hyperlink>
      <w:r>
        <w:rPr>
          <w:sz w:val="20"/>
        </w:rPr>
        <w:t xml:space="preserve"> приложения N 1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 Ульяновской</w:t>
      </w:r>
    </w:p>
    <w:p>
      <w:pPr>
        <w:pStyle w:val="2"/>
        <w:jc w:val="center"/>
      </w:pPr>
      <w:r>
        <w:rPr>
          <w:sz w:val="20"/>
        </w:rPr>
        <w:t xml:space="preserve">области, предоставляющего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исполнительный орган)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физической культуры и спорта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в областном государственном казенном учреждении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 в соответствии с соглашением, заключенным между ОГКУ "Правительство для граждан" 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"Правительство для граждан" может принять решение об отказе в приеме заявления о предоставлении государственной услуги, документов и (или) информации,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(результатами)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 (далее - уведомление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 (далее - исправление опечаток):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Информационной системы, в которой фиксируется факт получения заявителем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Результат предоставления государственной услуги в зависимости от способа, указанного в заявлении, может быть получен в уполномоченном органе, ОГКУ "Правительство для граждан", в отделении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уполномоченный орган, - не более 35 (тридцати пяти)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 в случае, если запрос и документы и (или) информация, необходимые для предоставления государственной услуги, поданы заявителем в ОГКУ "Правительство для граждан" - не более 35 (тридцати пяти)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223" w:tooltip="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ОГКУ "Правительство для граждан", организаций, предусмотренных </w:t>
      </w:r>
      <w:hyperlink w:history="0" r:id="rId1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государственных услуг), а также их должностных лиц, государственных гражданских служащих, работников размещены на официальном сайте уполномоченного органа и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Заявление о предоставления государственной услуги и документы, предусмотренные настоящим пунктом, представляются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ОГКУ "Правительство для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отделение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Документами, необходимыми в соответствии с нормативными правовыми актами для предоставления государственной услуги, которые заявитель должен представить самостоятельно,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53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заключения, составленное по форме, установленной приложением N 2 к настоящему Административному регламенту, содержащее обоснование соответствия оказываемых организацией ОПУ установленным </w:t>
      </w: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(паспорт гражданина РФ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(паспорт гражданина РФ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62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(по форме согласно приложению N 3 к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(паспорт гражданина РФ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(паспорт гражданина РФ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выданный в результате предоставления государственной услуги, в котором содержатся допущенные опечатки и (или)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документ, имеющий юридическую силу, содержащий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Документами, необходимыми в соответствии с нормативными правовыми актами для предоставления государственной услуги, которые заявитель представляет по собственной инициативе,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оказываемых организацией ОПУ установленным критериям оценки качества оказания ОПУ,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658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1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запроса о предоставлении государственной услуги, осуществляется в течение 1 (одного) рабочего дня со дня поступления запроса в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Кабинеты приема заявителей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(последнее - при наличии) и должности специалиста,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информации о порядке предоставления государственной услуги на официальном сайте уполномоченного органа,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ОГКУ "Правительство для граждан" (в части подачи заявления и документов, получения результата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заявителя оценить качество предоставления государственной услуги (заполнение анкеты 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записи на прием в уполномоченный орган для подачи запроса о предоставлении государственной услуги (при личном посещении,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записи в ОГКУ "Правительство для граждан" для подачи запроса о предоставлении государственной услуги (при личном посещении, по телефону, через официальный сайт ОГКУ "Правительство для граждан").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государственной услуги составляет не более двух, общей продолжительностью - не более 30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и особенности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систем, используемых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jc w:val="both"/>
      </w:pPr>
      <w:r>
        <w:rPr>
          <w:sz w:val="20"/>
        </w:rPr>
      </w:r>
    </w:p>
    <w:bookmarkStart w:id="223" w:name="P223"/>
    <w:bookmarkEnd w:id="223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обращении заявителя государственная услуга предоставляется в соответствии с вариантами, указанными в </w:t>
      </w:r>
      <w:hyperlink w:history="0" w:anchor="P497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определяется путем анкетирования заявителя, в процессе которого устанавливается результат предоставления государственной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</w:t>
      </w:r>
      <w:hyperlink w:history="0" w:anchor="P483" w:tooltip="Таблица 1. Перечень признаков заявителя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сотрудником уполномоченного органа или работником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48" w:name="P248"/>
    <w:bookmarkEnd w:id="248"/>
    <w:p>
      <w:pPr>
        <w:pStyle w:val="2"/>
        <w:outlineLvl w:val="4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35 (тридцать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658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0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через ОГКУ "Правительство для граждан" </w:t>
      </w:r>
      <w:hyperlink w:history="0" w:anchor="P53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44-ФЗ,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РФ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представление документа удостоверяющего в соответствии с законодательством Российской Федерации личность заявителя либо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ЕГРЮЛ". Поставщиком сведений является ФНС.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658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341" w:name="P341"/>
    <w:bookmarkEnd w:id="341"/>
    <w:p>
      <w:pPr>
        <w:pStyle w:val="2"/>
        <w:outlineLvl w:val="4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10 (десять)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62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и (или) ошибок в выданных в результате предоставления государственной услуги документах по форме, приведенной в приложении N 3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заявителем,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выданный в результате предоставления государственной услуги, в котором содержатся допущенные опечатки и (или)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имеющие юридическую силу содержащие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представителя заявителя при взаимодействии с представителями заявителей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представление документа удостоверяющего в соответствии с законодательством Российской Федерации личность заявителя либо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указанного выше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8 (восьми) рабочих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1 (одного) рабочего дня,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лицами,</w:t>
      </w:r>
    </w:p>
    <w:p>
      <w:pPr>
        <w:pStyle w:val="2"/>
        <w:jc w:val="center"/>
      </w:pPr>
      <w:r>
        <w:rPr>
          <w:sz w:val="20"/>
        </w:rPr>
        <w:t xml:space="preserve">государственными гражданскими служащими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решений</w:t>
      </w:r>
    </w:p>
    <w:p>
      <w:pPr>
        <w:pStyle w:val="2"/>
        <w:jc w:val="center"/>
      </w:pPr>
      <w:r>
        <w:rPr>
          <w:sz w:val="20"/>
        </w:rPr>
        <w:t xml:space="preserve">ответственными лицами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специалистом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путем проведения анализа отчетности, представляемой ежемесячно должностными лицами, ответственными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специалистом уполномоченного органа в формах проведения проверок и рассмотрения жалоб на решения, действия (бездействие) должностных лиц, государственных гражданских служащих уполномоченного органа,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распоряжения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уполномоченного органа,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проверок, в случае выявления нарушений соблюдения положений Административного регламента, виновные сотрудники уполномоченного органа несут административную ответственность в соответствии со </w:t>
      </w:r>
      <w:hyperlink w:history="0" r:id="rId25" w:tooltip="Закон Ульяновской области от 28.02.2011 N 16-ЗО (ред. от 31.07.2023) &quot;Кодекс Ульяновской области об административных правонарушениях&quot; (принят ЗС Ульяновской области 24.02.2011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Должностные лица, государственные гражданские служащие, ответственные за предоставление государственной услуги, обязаны сообщать о личной заинтересованности в результатах проводимых административных процедур, либо аффилированности с заявителями, которые могут привести 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Персональная ответственность должностных лиц, государственных гражданских служащих уполномоченного органа определяется в их служебных контрактах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функции по предоставлению государственных услуг, а также</w:t>
      </w:r>
    </w:p>
    <w:p>
      <w:pPr>
        <w:pStyle w:val="2"/>
        <w:jc w:val="center"/>
      </w:pPr>
      <w:r>
        <w:rPr>
          <w:sz w:val="20"/>
        </w:rPr>
        <w:t xml:space="preserve">их должностных 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можно получить у ответственного лица при личном обращении или по телефону в уполномоченном органе, а также посредством использования информации, размещенной на официальном сайте уполномоченного органа,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и способы подачи 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 в письменной форме на бумажном носителе может быть направлена по почте, подана через ОГКУ "Правительство для граждан", принята при личном приеме заявителя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электронной форме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официального сайта уполномоченного органа, ОГКУ "Правительство для граждан", Правительства Ульяновской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Единого портала (за исключением жалоб на решения и действия (бездействие) ОГКУ "Правительство для граждан", руководителя ОГКУ "Правительство для граждан", работников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"Интернет" (за исключением жалоб на решения и действия (бездействие) руководителя ОГКУ "Правительство для граждан", ОГКУ "Правительство для граждан", работников ОГКУ "Правительство для граждан").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483" w:name="P483"/>
    <w:bookmarkEnd w:id="483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31"/>
        <w:gridCol w:w="515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признака заявителя</w:t>
            </w:r>
          </w:p>
        </w:tc>
      </w:tr>
      <w:tr>
        <w:tc>
          <w:tcPr>
            <w:gridSpan w:val="3"/>
            <w:tcW w:w="8957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Законный представитель некоммерческой организации, удовлетворяющей требованиям, указанным в </w:t>
            </w:r>
            <w:hyperlink w:history="0" w:anchor="P43" w:tooltip="1.2. Круг заявителей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Административного регламента (далее - заявитель)</w:t>
            </w:r>
          </w:p>
        </w:tc>
      </w:tr>
      <w:tr>
        <w:tc>
          <w:tcPr>
            <w:gridSpan w:val="3"/>
            <w:tcW w:w="8957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97" w:name="P497"/>
    <w:bookmarkEnd w:id="497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7824"/>
      </w:tblGrid>
      <w:tr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 заявителя</w:t>
            </w:r>
          </w:p>
        </w:tc>
      </w:tr>
      <w:tr>
        <w:tc>
          <w:tcPr>
            <w:gridSpan w:val="2"/>
            <w:tcW w:w="8958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1134" w:type="dxa"/>
            <w:vAlign w:val="center"/>
          </w:tcPr>
          <w:p>
            <w:pPr>
              <w:pStyle w:val="0"/>
            </w:pPr>
            <w:hyperlink w:history="0" w:anchor="P248" w:tooltip="Вариант 1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</w:t>
            </w:r>
          </w:p>
        </w:tc>
      </w:tr>
      <w:tr>
        <w:tc>
          <w:tcPr>
            <w:gridSpan w:val="2"/>
            <w:tcW w:w="8958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услуги"</w:t>
            </w:r>
          </w:p>
        </w:tc>
      </w:tr>
      <w:tr>
        <w:tc>
          <w:tcPr>
            <w:tcW w:w="1134" w:type="dxa"/>
            <w:vAlign w:val="center"/>
          </w:tcPr>
          <w:p>
            <w:pPr>
              <w:pStyle w:val="0"/>
            </w:pPr>
            <w:hyperlink w:history="0" w:anchor="P341" w:tooltip="Вариант 2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В Министерство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и спорта Ульяновской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руководителя (представителя)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телефон, почтовый адрес,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532" w:name="P532"/>
    <w:bookmarkEnd w:id="53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о выдаче заключения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ориентированной   некоммерческой   организацией   (наименование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организации) общественно полезной(ых) услуги (услуг):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(наименования общественно полезной(ых) услуги (услуг) в соответствии с</w:t>
      </w:r>
    </w:p>
    <w:p>
      <w:pPr>
        <w:pStyle w:val="1"/>
        <w:jc w:val="both"/>
      </w:pPr>
      <w:r>
        <w:rPr>
          <w:sz w:val="20"/>
        </w:rPr>
        <w:t xml:space="preserve">            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от 27.10.2016 N 1096 "Об утверждении перечня общественно полезных услуги</w:t>
      </w:r>
    </w:p>
    <w:p>
      <w:pPr>
        <w:pStyle w:val="1"/>
        <w:jc w:val="both"/>
      </w:pPr>
      <w:r>
        <w:rPr>
          <w:sz w:val="20"/>
        </w:rPr>
        <w:t xml:space="preserve">                 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предоставления):</w:t>
      </w:r>
    </w:p>
    <w:p>
      <w:pPr>
        <w:pStyle w:val="1"/>
        <w:jc w:val="both"/>
      </w:pPr>
      <w:r>
        <w:rPr>
          <w:sz w:val="20"/>
        </w:rPr>
        <w:t xml:space="preserve">    сведения, подтверждающие наличие у лиц, непосредственно задействованных</w:t>
      </w:r>
    </w:p>
    <w:p>
      <w:pPr>
        <w:pStyle w:val="1"/>
        <w:jc w:val="both"/>
      </w:pPr>
      <w:r>
        <w:rPr>
          <w:sz w:val="20"/>
        </w:rPr>
        <w:t xml:space="preserve">в   исполнении   общественно   полезной  услуги  (в  том  числе  работников</w:t>
      </w:r>
    </w:p>
    <w:p>
      <w:pPr>
        <w:pStyle w:val="1"/>
        <w:jc w:val="both"/>
      </w:pPr>
      <w:r>
        <w:rPr>
          <w:sz w:val="20"/>
        </w:rPr>
        <w:t xml:space="preserve">организации  и  работников, 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  необходимой   квалификации  (в  том  числе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образования,   опыта   работы   в   соответствующей  сфере),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качеством  их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 с  их  компетенцией  в  течение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   подаче    заявления   о   выдаче   заключения   сведения,</w:t>
      </w:r>
    </w:p>
    <w:p>
      <w:pPr>
        <w:pStyle w:val="1"/>
        <w:jc w:val="both"/>
      </w:pPr>
      <w:r>
        <w:rPr>
          <w:sz w:val="20"/>
        </w:rPr>
        <w:t xml:space="preserve">подтверждающие   открытость   и  доступность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 отсутствие   в   реестре 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 в соответствии с Федеральным </w:t>
      </w:r>
      <w:hyperlink w:history="0" r:id="rId28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05.04.2013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 и   муниципальных   нужд"   в   течение 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заявления о выдаче заключения: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Полноту и достоверность представленных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предоставления государственной услуги прошу: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0"/>
        <w:gridCol w:w="8107"/>
      </w:tblGrid>
      <w:tr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посредством почтовой связи</w:t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Министерстве физической культуры и спорта Ульяновской области</w:t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ОГКУ "Правительство для граждан" (в случае подачи заявления через ОГКУ "Правительство для граждан")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   _______ (Подпись)</w:t>
      </w:r>
    </w:p>
    <w:p>
      <w:pPr>
        <w:pStyle w:val="1"/>
        <w:jc w:val="both"/>
      </w:pPr>
      <w:r>
        <w:rPr>
          <w:sz w:val="20"/>
        </w:rPr>
        <w:t xml:space="preserve">Должность  лица,  имеющего  право  без  доверенности  действовать 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"_____" ________ 20 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В Министерство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и спорта Ульяновской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руководителя (представителя)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телефон, почтовый адрес,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625" w:name="P625"/>
    <w:bookmarkEnd w:id="62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 исправить    допущенные    опечатки    и    (или)   ошибки 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(указать название документа, содержащего результат предоставления</w:t>
      </w:r>
    </w:p>
    <w:p>
      <w:pPr>
        <w:pStyle w:val="1"/>
        <w:jc w:val="both"/>
      </w:pPr>
      <w:r>
        <w:rPr>
          <w:sz w:val="20"/>
        </w:rPr>
        <w:t xml:space="preserve">                         государственной услуги).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предоставления государственной услуги прошу: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0"/>
        <w:gridCol w:w="8107"/>
      </w:tblGrid>
      <w:tr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посредством почтовой связи</w:t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Министерстве физической культуры и спорта Ульяновской области</w:t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ОГКУ "Правительство для граждан" (в случае подачи заявления через ОГКУ "Правительство для граждан")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   _______ (Подпись)</w:t>
      </w:r>
    </w:p>
    <w:p>
      <w:pPr>
        <w:pStyle w:val="1"/>
        <w:jc w:val="both"/>
      </w:pPr>
      <w:r>
        <w:rPr>
          <w:sz w:val="20"/>
        </w:rPr>
        <w:t xml:space="preserve">Должность  лица,  имеющего  право  без  доверенности  действовать 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"_____" ________ 20 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658" w:name="P658"/>
    <w:bookmarkEnd w:id="65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СОДЕРЖАНИЮ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ОЦЕНКУ КАЧЕСТВА ОКАЗАНИЯ КОТОРЫХ ОСУЩЕСТВЛЯЕТ</w:t>
      </w:r>
    </w:p>
    <w:p>
      <w:pPr>
        <w:pStyle w:val="2"/>
        <w:jc w:val="center"/>
      </w:pPr>
      <w:r>
        <w:rPr>
          <w:sz w:val="20"/>
        </w:rPr>
        <w:t xml:space="preserve">В МИНИСТЕРСТВЕ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442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нормативного правового акта Российской Федерации, устанавливающего требования к содержанию общественно полезной услуги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полезных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9" w:tooltip="Федеральный закон от 04.12.2007 N 329-ФЗ (ред. от 24.06.2023) &quot;О физической культуре и спорте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 физической культуре и спорте в Российской Федерации" от 04.12.2007 N 329-ФЗ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- пропаганда физической культуры, спорта 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 проведение официальных спортивных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участие в организации официальных спортивных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 проведение официальных физкультурных (физкультурно-оздоровительных)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доступа к спортивным объектам;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 проведение спортивно-оздоровительной работы по развитию физической культуры и спорта среди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развития национальных видов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 проведение всероссийских смотров физической подготовки граждан допризывного и призывного возрастов к военной службе;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реализация дополнительных предпрофессиональных программ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РФ от 21.09.2018 N 814 "Об утверждении методических рекомендаций по организации физкультурных мероприятий и спортивных мероприятий Всероссийского физкультурно-спортивного комплекса "Готов к труду и обороне" (ГТО)"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30" w:tooltip="Приказ Минспорта России от 25.09.2020 N 718 &quot;Об утверждении Методических рекомендаций по организации физкультурно-спортивной работы по месту жительства, отдыха и трудовой деятельности граждан в организациях различных форм собственност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РФ от 25 сентября 2020 г. N 718 "Об утверждении Методических рекомендаций по организации физкультурно-спортивной работы по месту жительства, отдыха и трудовой деятельности граждан в организациях различных форм собственности"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31" w:tooltip="Приказ Минспорта России от 28.11.2022 N 1082 &quot;Об утверждении федерального стандарта спортивной подготовки по виду спорта &quot;спорт лиц с интеллектуальными нарушениями&quot; (Зарегистрировано в Минюсте России 20.12.2022 N 7167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РФ от 28 ноября 2022 г. N 1082 "Об утверждении федерального стандарта спортивной подготовки по виду спорта "спорт лиц с интеллектуальными нарушениями"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32" w:tooltip="Приказ Минспорта России от 22.11.2022 N 1051 &quot;Об утверждении федерального стандарта спортивной подготовки по виду спорта &quot;спорт глухих&quot; (Зарегистрировано в Минюсте России 20.12.2022 N 716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РФ от 22 ноября 2022 г. N 1051 "Об утверждении федерального стандарта спортивной подготовки по виду спорта "спорт глухих"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33" w:tooltip="Приказ Минспорта России от 28.11.2022 N 1084 &quot;Об утверждении федерального стандарта спортивной подготовки по виду спорта &quot;спорт лиц с поражением ОДА&quot; (Зарегистрировано в Минюсте России 20.12.2022 N 7170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РФ от 28 ноября 2022 г. N 1084 "Об утверждении федерального стандарта спортивной подготовки по виду спорта "спорт лиц с поражением ОДА"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34" w:tooltip="Приказ Минспорта России от 03.10.2022 N 795 &quot;Об утверждении федерального стандарта спортивной подготовки по виду спорта &quot;спорт слепых&quot; (Зарегистрировано в Минюсте России 07.11.2022 N 7083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РФ от 3 октября 2022 г. N 795 "Об утверждении федерального стандарта спортивной подготовки по виду спорта "спорт слепых"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  <w:hyperlink w:history="0" r:id="rId35" w:tooltip="&quot;Правила вида спорта &quot;футбол лиц с заболеванием ЦП&quot; (утв. приказом Минспорта России от 27.12.2018 N 1095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вида спорта "футбол лиц с заболеванием ЦП" (утв. </w:t>
            </w:r>
            <w:hyperlink w:history="0" r:id="rId36" w:tooltip="Приказ Минспорта России от 27.12.2018 N 1095 &quot;Об утверждении правил вида спорта &quot;футбол лиц с заболеванием ЦП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Минспорта России от 27.12.2018 N 1095)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37" w:tooltip="Приказ Минспорта России от 24.01.2022 N 45 &quot;Об утверждении правил служебно-прикладного вида спорта &quot;служебно-прикладной спорт ФТС Росси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24.01.2022 N 45) "</w:t>
            </w:r>
            <w:hyperlink w:history="0" r:id="rId38" w:tooltip="&quot;Правила служебно-прикладного вида спорта &quot;служебно-прикладной спорт ФТС России&quot; (утв. Приказом Минспорта России от 24.01.2022 N 45) (ред. от 31.03.2023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служебно-прикладного вида спорта "служебно-прикладной спорт ФТС России"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39" w:tooltip="Приказ Минспорта России от 25.08.2015 N 829 &quot;Об утверждении правил военно-прикладного вида спорта &quot;военно-прикладной спорт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25.08.2015 N 829, в ред. от 25.07.2022) "</w:t>
            </w:r>
            <w:hyperlink w:history="0" r:id="rId40" w:tooltip="&quot;Правила военно-прикладного вида спорта &quot;Военно-прикладной спорт&quot; (утв. приказом Минспорта России от 25.08.2015 N 829) (ред. от 28.04.2023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военно-прикладного вида спорта "Военно-прикладной спорт"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41" w:tooltip="Приказ Минспорта России от 30.09.2015 N 914 (ред. от 22.02.2022) &quot;Об утверждении порядка осуществления экспериментальной и инновационной деятельности в области физической культуры и спорта&quot; (Зарегистрировано в Минюсте России 18.12.2015 N 4015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РФ от 30 сентября 2015 г. N 914 "Об утверждении порядка осуществления экспериментальной и инновационной деятельности в области физической культуры и спорта" в ред. от 22.02.2022.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69" w:type="dxa"/>
          </w:tcPr>
          <w:p>
            <w:pPr>
              <w:pStyle w:val="0"/>
            </w:pPr>
            <w:hyperlink w:history="0" r:id="rId4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27 октября 2016 г. N 1096 "Об утверждении перечня общественно полезных услуг и критериев оценки качества их оказания"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физической культуры и спорта Ульяновской области от 14.08.2023 N 43-п</w:t>
            <w:br/>
            <w:t>"Об утверждении административн...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13F160E00BBC500B098F4FC38F523BBA20C67B8AC75DE687FF6B347783D3678DE3447161C52F0384BC27797BD4A02663D3858F7BSFGFI" TargetMode = "External"/>
	<Relationship Id="rId8" Type="http://schemas.openxmlformats.org/officeDocument/2006/relationships/hyperlink" Target="consultantplus://offline/ref=8813F160E00BBC500B098F4FC38F523BBA20C67B8AC75DE687FF6B347783D3679FE31C7961C53A56D4E6707479SDG2I" TargetMode = "External"/>
	<Relationship Id="rId9" Type="http://schemas.openxmlformats.org/officeDocument/2006/relationships/hyperlink" Target="consultantplus://offline/ref=8813F160E00BBC500B098F4FC38F523BBA21C7708DC65DE687FF6B347783D3678DE3447765C52F0384BC27797BD4A02663D3858F7BSFGFI" TargetMode = "External"/>
	<Relationship Id="rId10" Type="http://schemas.openxmlformats.org/officeDocument/2006/relationships/hyperlink" Target="consultantplus://offline/ref=8813F160E00BBC500B098F4FC38F523BBA21C7708DC65DE687FF6B347783D3679FE31C7961C53A56D4E6707479SDG2I" TargetMode = "External"/>
	<Relationship Id="rId11" Type="http://schemas.openxmlformats.org/officeDocument/2006/relationships/hyperlink" Target="consultantplus://offline/ref=8813F160E00BBC500B098F4FC38F523BBA21C7708DC65DE687FF6B347783D3679FE31C7961C53A56D4E6707479SDG2I" TargetMode = "External"/>
	<Relationship Id="rId12" Type="http://schemas.openxmlformats.org/officeDocument/2006/relationships/hyperlink" Target="consultantplus://offline/ref=8813F160E00BBC500B098F4FC38F523BBA21C7708DC65DE687FF6B347783D3679FE31C7961C53A56D4E6707479SDG2I" TargetMode = "External"/>
	<Relationship Id="rId13" Type="http://schemas.openxmlformats.org/officeDocument/2006/relationships/hyperlink" Target="consultantplus://offline/ref=8813F160E00BBC500B098F4FC38F523BBA20C67B8AC75DE687FF6B347783D3678DE3447561C02650D1F326253F84B32767D3868E67FE9E69S1G1I" TargetMode = "External"/>
	<Relationship Id="rId14" Type="http://schemas.openxmlformats.org/officeDocument/2006/relationships/hyperlink" Target="consultantplus://offline/ref=8813F160E00BBC500B098F4FC38F523BBD27CD7E8BC15DE687FF6B347783D3678DE3447561C02456D4F326253F84B32767D3868E67FE9E69S1G1I" TargetMode = "External"/>
	<Relationship Id="rId15" Type="http://schemas.openxmlformats.org/officeDocument/2006/relationships/hyperlink" Target="consultantplus://offline/ref=8813F160E00BBC500B098F4FC38F523BBA20C67B8AC25DE687FF6B347783D3678DE3447561C02752D7F326253F84B32767D3868E67FE9E69S1G1I" TargetMode = "External"/>
	<Relationship Id="rId16" Type="http://schemas.openxmlformats.org/officeDocument/2006/relationships/hyperlink" Target="consultantplus://offline/ref=8813F160E00BBC500B098F4FC38F523BBD27CD7E8BC15DE687FF6B347783D3678DE3447561C02557DCF326253F84B32767D3868E67FE9E69S1G1I" TargetMode = "External"/>
	<Relationship Id="rId17" Type="http://schemas.openxmlformats.org/officeDocument/2006/relationships/hyperlink" Target="consultantplus://offline/ref=8813F160E00BBC500B098F4FC38F523BBA20C17A8EC65DE687FF6B347783D3679FE31C7961C53A56D4E6707479SDG2I" TargetMode = "External"/>
	<Relationship Id="rId18" Type="http://schemas.openxmlformats.org/officeDocument/2006/relationships/hyperlink" Target="consultantplus://offline/ref=8813F160E00BBC500B098F4FC38F523BBA21C7708DC65DE687FF6B347783D3678DE3447766CB700691AD7F747ECFBF267CCF878DS7GAI" TargetMode = "External"/>
	<Relationship Id="rId19" Type="http://schemas.openxmlformats.org/officeDocument/2006/relationships/hyperlink" Target="consultantplus://offline/ref=8813F160E00BBC500B098F4FC38F523BBA20C17A8EC65DE687FF6B347783D3679FE31C7961C53A56D4E6707479SDG2I" TargetMode = "External"/>
	<Relationship Id="rId20" Type="http://schemas.openxmlformats.org/officeDocument/2006/relationships/hyperlink" Target="consultantplus://offline/ref=8813F160E00BBC500B098F4FC38F523BBA20C17A8EC65DE687FF6B347783D3679FE31C7961C53A56D4E6707479SDG2I" TargetMode = "External"/>
	<Relationship Id="rId21" Type="http://schemas.openxmlformats.org/officeDocument/2006/relationships/hyperlink" Target="consultantplus://offline/ref=8813F160E00BBC500B098F4FC38F523BBD27CD7E8BC15DE687FF6B347783D3678DE3447561C02557DCF326253F84B32767D3868E67FE9E69S1G1I" TargetMode = "External"/>
	<Relationship Id="rId22" Type="http://schemas.openxmlformats.org/officeDocument/2006/relationships/hyperlink" Target="consultantplus://offline/ref=8813F160E00BBC500B098F4FC38F523BBA20C17A8EC65DE687FF6B347783D3679FE31C7961C53A56D4E6707479SDG2I" TargetMode = "External"/>
	<Relationship Id="rId23" Type="http://schemas.openxmlformats.org/officeDocument/2006/relationships/hyperlink" Target="consultantplus://offline/ref=8813F160E00BBC500B098F4FC38F523BBA21C7708DC65DE687FF6B347783D3678DE3447766CB700691AD7F747ECFBF267CCF878DS7GAI" TargetMode = "External"/>
	<Relationship Id="rId24" Type="http://schemas.openxmlformats.org/officeDocument/2006/relationships/hyperlink" Target="consultantplus://offline/ref=8813F160E00BBC500B098F4FC38F523BBA20C17A8EC65DE687FF6B347783D3679FE31C7961C53A56D4E6707479SDG2I" TargetMode = "External"/>
	<Relationship Id="rId25" Type="http://schemas.openxmlformats.org/officeDocument/2006/relationships/hyperlink" Target="consultantplus://offline/ref=8813F160E00BBC500B099142D5E30C31B82E9B758CC150B2DBA03069208AD930CAAC1D3725CD2557D5FA7A727085EF6337C0878A67FD9F75109713SDG2I" TargetMode = "External"/>
	<Relationship Id="rId26" Type="http://schemas.openxmlformats.org/officeDocument/2006/relationships/hyperlink" Target="consultantplus://offline/ref=8813F160E00BBC500B098F4FC38F523BBD27CD7E8BC15DE687FF6B347783D3679FE31C7961C53A56D4E6707479SDG2I" TargetMode = "External"/>
	<Relationship Id="rId27" Type="http://schemas.openxmlformats.org/officeDocument/2006/relationships/hyperlink" Target="consultantplus://offline/ref=8813F160E00BBC500B098F4FC38F523BBD27CD7E8BC15DE687FF6B347783D3679FE31C7961C53A56D4E6707479SDG2I" TargetMode = "External"/>
	<Relationship Id="rId28" Type="http://schemas.openxmlformats.org/officeDocument/2006/relationships/hyperlink" Target="consultantplus://offline/ref=8813F160E00BBC500B098F4FC38F523BBA20C17A8EC65DE687FF6B347783D3679FE31C7961C53A56D4E6707479SDG2I" TargetMode = "External"/>
	<Relationship Id="rId29" Type="http://schemas.openxmlformats.org/officeDocument/2006/relationships/hyperlink" Target="consultantplus://offline/ref=8813F160E00BBC500B098F4FC38F523BBA20C57C8EC35DE687FF6B347783D3679FE31C7961C53A56D4E6707479SDG2I" TargetMode = "External"/>
	<Relationship Id="rId30" Type="http://schemas.openxmlformats.org/officeDocument/2006/relationships/hyperlink" Target="consultantplus://offline/ref=8813F160E00BBC500B098F4FC38F523BBD23CC7983C35DE687FF6B347783D3679FE31C7961C53A56D4E6707479SDG2I" TargetMode = "External"/>
	<Relationship Id="rId31" Type="http://schemas.openxmlformats.org/officeDocument/2006/relationships/hyperlink" Target="consultantplus://offline/ref=8813F160E00BBC500B098F4FC38F523BBA26C07E8CC95DE687FF6B347783D3679FE31C7961C53A56D4E6707479SDG2I" TargetMode = "External"/>
	<Relationship Id="rId32" Type="http://schemas.openxmlformats.org/officeDocument/2006/relationships/hyperlink" Target="consultantplus://offline/ref=8813F160E00BBC500B098F4FC38F523BBA26C07E8CC75DE687FF6B347783D3679FE31C7961C53A56D4E6707479SDG2I" TargetMode = "External"/>
	<Relationship Id="rId33" Type="http://schemas.openxmlformats.org/officeDocument/2006/relationships/hyperlink" Target="consultantplus://offline/ref=8813F160E00BBC500B098F4FC38F523BBA26C37A8FC05DE687FF6B347783D3679FE31C7961C53A56D4E6707479SDG2I" TargetMode = "External"/>
	<Relationship Id="rId34" Type="http://schemas.openxmlformats.org/officeDocument/2006/relationships/hyperlink" Target="consultantplus://offline/ref=8813F160E00BBC500B098F4FC38F523BBA26C47983C25DE687FF6B347783D3679FE31C7961C53A56D4E6707479SDG2I" TargetMode = "External"/>
	<Relationship Id="rId35" Type="http://schemas.openxmlformats.org/officeDocument/2006/relationships/hyperlink" Target="consultantplus://offline/ref=8813F160E00BBC500B098F4FC38F523BBD24C07C8EC05DE687FF6B347783D3679FE31C7961C53A56D4E6707479SDG2I" TargetMode = "External"/>
	<Relationship Id="rId36" Type="http://schemas.openxmlformats.org/officeDocument/2006/relationships/hyperlink" Target="consultantplus://offline/ref=8813F160E00BBC500B098F4FC38F523BBD24C27B83C25DE687FF6B347783D3679FE31C7961C53A56D4E6707479SDG2I" TargetMode = "External"/>
	<Relationship Id="rId37" Type="http://schemas.openxmlformats.org/officeDocument/2006/relationships/hyperlink" Target="consultantplus://offline/ref=8813F160E00BBC500B098F4FC38F523BBA24C67A89C15DE687FF6B347783D3679FE31C7961C53A56D4E6707479SDG2I" TargetMode = "External"/>
	<Relationship Id="rId38" Type="http://schemas.openxmlformats.org/officeDocument/2006/relationships/hyperlink" Target="consultantplus://offline/ref=8813F160E00BBC500B098F4FC38F523BBA21CD7D89C55DE687FF6B347783D3679FE31C7961C53A56D4E6707479SDG2I" TargetMode = "External"/>
	<Relationship Id="rId39" Type="http://schemas.openxmlformats.org/officeDocument/2006/relationships/hyperlink" Target="consultantplus://offline/ref=8813F160E00BBC500B098F4FC38F523BBD21CD7A83C25DE687FF6B347783D3679FE31C7961C53A56D4E6707479SDG2I" TargetMode = "External"/>
	<Relationship Id="rId40" Type="http://schemas.openxmlformats.org/officeDocument/2006/relationships/hyperlink" Target="consultantplus://offline/ref=8813F160E00BBC500B098F4FC38F523BBA21CD798AC75DE687FF6B347783D3679FE31C7961C53A56D4E6707479SDG2I" TargetMode = "External"/>
	<Relationship Id="rId41" Type="http://schemas.openxmlformats.org/officeDocument/2006/relationships/hyperlink" Target="consultantplus://offline/ref=8813F160E00BBC500B098F4FC38F523BBA27C57A82C55DE687FF6B347783D3679FE31C7961C53A56D4E6707479SDG2I" TargetMode = "External"/>
	<Relationship Id="rId42" Type="http://schemas.openxmlformats.org/officeDocument/2006/relationships/hyperlink" Target="consultantplus://offline/ref=8813F160E00BBC500B098F4FC38F523BBD27CD7E8BC15DE687FF6B347783D3679FE31C7961C53A56D4E6707479SDG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физической культуры и спорта Ульяновской области от 14.08.2023 N 43-п
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услуг"</dc:title>
  <dcterms:created xsi:type="dcterms:W3CDTF">2023-11-05T08:06:18Z</dcterms:created>
</cp:coreProperties>
</file>