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Волгоградской обл. от 23.09.2024 N 566-п</w:t>
              <w:br/>
              <w:t xml:space="preserve">(ред. от 25.11.2024)</w:t>
              <w:br/>
              <w:t xml:space="preserve">"Об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ВОЛГОГРАДСКОЙ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23 сентября 2024 г. N 566-п</w:t>
      </w:r>
    </w:p>
    <w:p>
      <w:pPr>
        <w:pStyle w:val="2"/>
        <w:jc w:val="both"/>
      </w:pPr>
      <w:r>
        <w:rPr>
          <w:sz w:val="20"/>
        </w:rPr>
      </w:r>
    </w:p>
    <w:p>
      <w:pPr>
        <w:pStyle w:val="2"/>
        <w:jc w:val="center"/>
      </w:pPr>
      <w:r>
        <w:rPr>
          <w:sz w:val="20"/>
        </w:rPr>
        <w:t xml:space="preserve">ОБ УТВЕРЖДЕНИИ ПОРЯДКА ПРОВЕДЕНИЯ ОТБОРА СОЦИАЛЬНО</w:t>
      </w:r>
    </w:p>
    <w:p>
      <w:pPr>
        <w:pStyle w:val="2"/>
        <w:jc w:val="center"/>
      </w:pPr>
      <w:r>
        <w:rPr>
          <w:sz w:val="20"/>
        </w:rPr>
        <w:t xml:space="preserve">ОРИЕНТИРОВАННЫХ НЕКОММЕРЧЕСКИХ ОРГАНИЗАЦИЙ ДЛЯ ОКАЗАНИЯ</w:t>
      </w:r>
    </w:p>
    <w:p>
      <w:pPr>
        <w:pStyle w:val="2"/>
        <w:jc w:val="center"/>
      </w:pPr>
      <w:r>
        <w:rPr>
          <w:sz w:val="20"/>
        </w:rPr>
        <w:t xml:space="preserve">ИНФОРМАЦИОННОЙ ПОДДЕРЖКИ В ФОРМЕ СОДЕЙСТВИЯ В СОЗДАНИИ</w:t>
      </w:r>
    </w:p>
    <w:p>
      <w:pPr>
        <w:pStyle w:val="2"/>
        <w:jc w:val="center"/>
      </w:pPr>
      <w:r>
        <w:rPr>
          <w:sz w:val="20"/>
        </w:rPr>
        <w:t xml:space="preserve">ОФИЦИАЛЬНЫХ САЙТОВ В ИНФОРМАЦИОННО-ТЕЛЕКОММУНИКАЦИОННОЙ СЕТИ</w:t>
      </w:r>
    </w:p>
    <w:p>
      <w:pPr>
        <w:pStyle w:val="2"/>
        <w:jc w:val="center"/>
      </w:pPr>
      <w:r>
        <w:rPr>
          <w:sz w:val="20"/>
        </w:rPr>
        <w:t xml:space="preserve">ИНТЕРНЕТ И (ИЛИ) ОБЕСПЕЧЕНИИ ИХ ФУНКЦИОНИРОВАНИЯ ПУТЕМ</w:t>
      </w:r>
    </w:p>
    <w:p>
      <w:pPr>
        <w:pStyle w:val="2"/>
        <w:jc w:val="center"/>
      </w:pPr>
      <w:r>
        <w:rPr>
          <w:sz w:val="20"/>
        </w:rPr>
        <w:t xml:space="preserve">ИСПОЛЬЗОВАНИЯ ФЕДЕРАЛЬНОЙ ГОСУДАРСТВЕННОЙ ИНФОРМАЦИОННОЙ</w:t>
      </w:r>
    </w:p>
    <w:p>
      <w:pPr>
        <w:pStyle w:val="2"/>
        <w:jc w:val="center"/>
      </w:pPr>
      <w:r>
        <w:rPr>
          <w:sz w:val="20"/>
        </w:rPr>
        <w:t xml:space="preserve">СИСТЕМЫ "ЕДИНЫЙ ПОРТАЛ ГОСУДАРСТВЕННЫХ И МУНИЦИПАЛЬНЫХ УСЛУГ</w:t>
      </w:r>
    </w:p>
    <w:p>
      <w:pPr>
        <w:pStyle w:val="2"/>
        <w:jc w:val="center"/>
      </w:pPr>
      <w:r>
        <w:rPr>
          <w:sz w:val="20"/>
        </w:rPr>
        <w:t xml:space="preserve">(ФУНКЦИЙ)"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color w:val="392c69"/>
              </w:rPr>
              <w:t xml:space="preserve"> Администрации Волгоградской обл.</w:t>
            </w:r>
          </w:p>
          <w:p>
            <w:pPr>
              <w:pStyle w:val="0"/>
              <w:jc w:val="center"/>
            </w:pPr>
            <w:r>
              <w:rPr>
                <w:sz w:val="20"/>
                <w:color w:val="392c69"/>
              </w:rPr>
              <w:t xml:space="preserve">от 25.11.2024 N 686-п)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пунктом 3</w:t>
        </w:r>
      </w:hyperlink>
      <w:r>
        <w:rPr>
          <w:sz w:val="20"/>
        </w:rPr>
        <w:t xml:space="preserve"> постановления Правительства Российской Федерации от 29 ноября 2023 г. N 2022 "Об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Администрация Волгоградской области постановляет:</w:t>
      </w:r>
    </w:p>
    <w:p>
      <w:pPr>
        <w:pStyle w:val="0"/>
        <w:spacing w:before="200" w:line-rule="auto"/>
        <w:ind w:firstLine="540"/>
        <w:jc w:val="both"/>
      </w:pPr>
      <w:r>
        <w:rPr>
          <w:sz w:val="20"/>
        </w:rPr>
        <w:t xml:space="preserve">1. Утвердить прилагаемый </w:t>
      </w:r>
      <w:hyperlink w:history="0" w:anchor="P36" w:tooltip="ПОРЯДОК">
        <w:r>
          <w:rPr>
            <w:sz w:val="20"/>
            <w:color w:val="0000ff"/>
          </w:rPr>
          <w:t xml:space="preserve">Порядок</w:t>
        </w:r>
      </w:hyperlink>
      <w:r>
        <w:rPr>
          <w:sz w:val="20"/>
        </w:rPr>
        <w:t xml:space="preserve">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pPr>
        <w:pStyle w:val="0"/>
        <w:spacing w:before="200" w:line-rule="auto"/>
        <w:ind w:firstLine="540"/>
        <w:jc w:val="both"/>
      </w:pPr>
      <w:r>
        <w:rPr>
          <w:sz w:val="20"/>
        </w:rPr>
        <w:t xml:space="preserve">2. Настоящее постановление вступает в силу со дня его подписания и подлежит официальному опубликованию.</w:t>
      </w:r>
    </w:p>
    <w:p>
      <w:pPr>
        <w:pStyle w:val="0"/>
        <w:jc w:val="both"/>
      </w:pPr>
      <w:r>
        <w:rPr>
          <w:sz w:val="20"/>
        </w:rPr>
      </w:r>
    </w:p>
    <w:p>
      <w:pPr>
        <w:pStyle w:val="0"/>
        <w:jc w:val="right"/>
      </w:pPr>
      <w:r>
        <w:rPr>
          <w:sz w:val="20"/>
        </w:rPr>
        <w:t xml:space="preserve">И.о. Губернатора</w:t>
      </w:r>
    </w:p>
    <w:p>
      <w:pPr>
        <w:pStyle w:val="0"/>
        <w:jc w:val="right"/>
      </w:pPr>
      <w:r>
        <w:rPr>
          <w:sz w:val="20"/>
        </w:rPr>
        <w:t xml:space="preserve">Волгоградской области</w:t>
      </w:r>
    </w:p>
    <w:p>
      <w:pPr>
        <w:pStyle w:val="0"/>
        <w:jc w:val="right"/>
      </w:pPr>
      <w:r>
        <w:rPr>
          <w:sz w:val="20"/>
        </w:rPr>
        <w:t xml:space="preserve">Е.А.ХАРИЧКИН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Волгоградской области</w:t>
      </w:r>
    </w:p>
    <w:p>
      <w:pPr>
        <w:pStyle w:val="0"/>
        <w:jc w:val="right"/>
      </w:pPr>
      <w:r>
        <w:rPr>
          <w:sz w:val="20"/>
        </w:rPr>
        <w:t xml:space="preserve">от 23 сентября 2024 г. N 566-п</w:t>
      </w:r>
    </w:p>
    <w:p>
      <w:pPr>
        <w:pStyle w:val="0"/>
        <w:jc w:val="both"/>
      </w:pPr>
      <w:r>
        <w:rPr>
          <w:sz w:val="20"/>
        </w:rPr>
      </w:r>
    </w:p>
    <w:bookmarkStart w:id="36" w:name="P36"/>
    <w:bookmarkEnd w:id="36"/>
    <w:p>
      <w:pPr>
        <w:pStyle w:val="2"/>
        <w:jc w:val="center"/>
      </w:pPr>
      <w:r>
        <w:rPr>
          <w:sz w:val="20"/>
        </w:rPr>
        <w:t xml:space="preserve">ПОРЯДОК</w:t>
      </w:r>
    </w:p>
    <w:p>
      <w:pPr>
        <w:pStyle w:val="2"/>
        <w:jc w:val="center"/>
      </w:pPr>
      <w:r>
        <w:rPr>
          <w:sz w:val="20"/>
        </w:rPr>
        <w:t xml:space="preserve">ПРОВЕДЕНИЯ ОТБОРА СОЦИАЛЬНО ОРИЕНТИРОВАННЫХ НЕКОММЕРЧЕСКИХ</w:t>
      </w:r>
    </w:p>
    <w:p>
      <w:pPr>
        <w:pStyle w:val="2"/>
        <w:jc w:val="center"/>
      </w:pPr>
      <w:r>
        <w:rPr>
          <w:sz w:val="20"/>
        </w:rPr>
        <w:t xml:space="preserve">ОРГАНИЗАЦИЙ ДЛЯ ОКАЗАНИЯ ИНФОРМАЦИОННОЙ ПОДДЕРЖКИ В ФОРМЕ</w:t>
      </w:r>
    </w:p>
    <w:p>
      <w:pPr>
        <w:pStyle w:val="2"/>
        <w:jc w:val="center"/>
      </w:pPr>
      <w:r>
        <w:rPr>
          <w:sz w:val="20"/>
        </w:rPr>
        <w:t xml:space="preserve">СОДЕЙСТВИЯ В СОЗДАНИИ ОФИЦИАЛЬНЫХ САЙТОВ</w:t>
      </w:r>
    </w:p>
    <w:p>
      <w:pPr>
        <w:pStyle w:val="2"/>
        <w:jc w:val="center"/>
      </w:pPr>
      <w:r>
        <w:rPr>
          <w:sz w:val="20"/>
        </w:rPr>
        <w:t xml:space="preserve">В ИНФОРМАЦИОННО-ТЕЛЕКОММУНИКАЦИОННОЙ СЕТИ ИНТЕРНЕТ И (ИЛИ)</w:t>
      </w:r>
    </w:p>
    <w:p>
      <w:pPr>
        <w:pStyle w:val="2"/>
        <w:jc w:val="center"/>
      </w:pPr>
      <w:r>
        <w:rPr>
          <w:sz w:val="20"/>
        </w:rPr>
        <w:t xml:space="preserve">ОБЕСПЕЧЕНИИ ИХ ФУНКЦИОНИРОВАНИЯ ПУТЕМ ИСПОЛЬЗОВАНИЯ</w:t>
      </w:r>
    </w:p>
    <w:p>
      <w:pPr>
        <w:pStyle w:val="2"/>
        <w:jc w:val="center"/>
      </w:pPr>
      <w:r>
        <w:rPr>
          <w:sz w:val="20"/>
        </w:rPr>
        <w:t xml:space="preserve">ФЕДЕРАЛЬНОЙ ГОСУДАРСТВЕННОЙ ИНФОРМАЦИОННОЙ СИСТЕМЫ "ЕДИНЫЙ</w:t>
      </w:r>
    </w:p>
    <w:p>
      <w:pPr>
        <w:pStyle w:val="2"/>
        <w:jc w:val="center"/>
      </w:pPr>
      <w:r>
        <w:rPr>
          <w:sz w:val="20"/>
        </w:rPr>
        <w:t xml:space="preserve">ПОРТАЛ ГОСУДАРСТВЕННЫХ И МУНИЦИПАЛЬНЫХ УСЛУГ (ФУНКЦИЙ)"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9"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color w:val="392c69"/>
              </w:rPr>
              <w:t xml:space="preserve"> Администрации Волгоградской обл.</w:t>
            </w:r>
          </w:p>
          <w:p>
            <w:pPr>
              <w:pStyle w:val="0"/>
              <w:jc w:val="center"/>
            </w:pPr>
            <w:r>
              <w:rPr>
                <w:sz w:val="20"/>
                <w:color w:val="392c69"/>
              </w:rPr>
              <w:t xml:space="preserve">от 25.11.2024 N 686-п)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регламентирует правила проведения отбора социально ориентированных некоммерческих организаций (далее именуются - СО НКО)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(далее соответственно именуются - отбор, информационная поддержка).</w:t>
      </w:r>
    </w:p>
    <w:p>
      <w:pPr>
        <w:pStyle w:val="0"/>
        <w:spacing w:before="200" w:line-rule="auto"/>
        <w:ind w:firstLine="540"/>
        <w:jc w:val="both"/>
      </w:pPr>
      <w:r>
        <w:rPr>
          <w:sz w:val="20"/>
        </w:rPr>
        <w:t xml:space="preserve">1.2. Понятия, используемые в настоящем Порядке, употребляются в тех же значениях, в которых они используются в федеральных законах от 12 января 1996 г. </w:t>
      </w:r>
      <w:hyperlink w:history="0" r:id="rId10" w:tooltip="Федеральный закон от 12.01.1996 N 7-ФЗ (ред. от 30.09.2024) &quot;О некоммерческих организациях&quot; {КонсультантПлюс}">
        <w:r>
          <w:rPr>
            <w:sz w:val="20"/>
            <w:color w:val="0000ff"/>
          </w:rPr>
          <w:t xml:space="preserve">N 7-ФЗ</w:t>
        </w:r>
      </w:hyperlink>
      <w:r>
        <w:rPr>
          <w:sz w:val="20"/>
        </w:rPr>
        <w:t xml:space="preserve"> "О некоммерческих организациях", от 09 февраля 2009 г. </w:t>
      </w:r>
      <w:hyperlink w:history="0" r:id="rId11"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N 8-ФЗ</w:t>
        </w:r>
      </w:hyperlink>
      <w:r>
        <w:rPr>
          <w:sz w:val="20"/>
        </w:rPr>
        <w:t xml:space="preserve"> "Об обеспечении доступа к информации о деятельности государственных органов и органов местного самоуправления", от 27 июля 2006 г.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0"/>
            <w:color w:val="0000ff"/>
          </w:rPr>
          <w:t xml:space="preserve">N 149-ФЗ</w:t>
        </w:r>
      </w:hyperlink>
      <w:r>
        <w:rPr>
          <w:sz w:val="20"/>
        </w:rPr>
        <w:t xml:space="preserve"> "Об информации, информационных технологиях и о защите информации".</w:t>
      </w:r>
    </w:p>
    <w:p>
      <w:pPr>
        <w:pStyle w:val="0"/>
        <w:spacing w:before="200" w:line-rule="auto"/>
        <w:ind w:firstLine="540"/>
        <w:jc w:val="both"/>
      </w:pPr>
      <w:r>
        <w:rPr>
          <w:sz w:val="20"/>
        </w:rPr>
        <w:t xml:space="preserve">1.3. Отбор СО НКО осуществляется комитетом по делам территориальных образований, внутренней и информационной политики Волгоградской области (далее именуется - комитет).</w:t>
      </w:r>
    </w:p>
    <w:bookmarkStart w:id="53" w:name="P53"/>
    <w:bookmarkEnd w:id="53"/>
    <w:p>
      <w:pPr>
        <w:pStyle w:val="0"/>
        <w:spacing w:before="200" w:line-rule="auto"/>
        <w:ind w:firstLine="540"/>
        <w:jc w:val="both"/>
      </w:pPr>
      <w:r>
        <w:rPr>
          <w:sz w:val="20"/>
        </w:rPr>
        <w:t xml:space="preserve">1.4. Участниками отбора являются некоммерческие организации, осуществляющие деятельность в качестве юридического лица на территории Волгоградской области, включенные в реестр социально ориентированных некоммерческих организаций в соответствии с </w:t>
      </w:r>
      <w:hyperlink w:history="0" r:id="rId13" w:tooltip="Постановление Правительства РФ от 30.07.2021 N 1290 (ред. от 17.01.2024)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 июля 2021 г. N 1290 "О реестре социально ориентированных некоммерческих организаций" и соответствующие требованиям, определенным </w:t>
      </w:r>
      <w:hyperlink w:history="0" w:anchor="P74" w:tooltip="4) СО НКО осуществляет на территории Волгоградской области в соответствии с уставом в том числе один или несколько из следующих видов деятельности:">
        <w:r>
          <w:rPr>
            <w:sz w:val="20"/>
            <w:color w:val="0000ff"/>
          </w:rPr>
          <w:t xml:space="preserve">подпунктом 4 пункта 2.2</w:t>
        </w:r>
      </w:hyperlink>
      <w:r>
        <w:rPr>
          <w:sz w:val="20"/>
        </w:rPr>
        <w:t xml:space="preserve"> настоящего Порядка.</w:t>
      </w:r>
    </w:p>
    <w:p>
      <w:pPr>
        <w:pStyle w:val="0"/>
        <w:jc w:val="both"/>
      </w:pPr>
      <w:r>
        <w:rPr>
          <w:sz w:val="20"/>
        </w:rPr>
        <w:t xml:space="preserve">(в ред. </w:t>
      </w:r>
      <w:hyperlink w:history="0" r:id="rId14"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rPr>
        <w:t xml:space="preserve"> Администрации Волгоградской обл. от 25.11.2024 N 686-п)</w:t>
      </w:r>
    </w:p>
    <w:p>
      <w:pPr>
        <w:pStyle w:val="0"/>
        <w:spacing w:before="200" w:line-rule="auto"/>
        <w:ind w:firstLine="540"/>
        <w:jc w:val="both"/>
      </w:pPr>
      <w:r>
        <w:rPr>
          <w:sz w:val="20"/>
        </w:rPr>
        <w:t xml:space="preserve">1.5. Отбор СО НКО осуществляется в рамках предельного количества СО НКО, имеющих право на получение информационной поддержки, установленного для Волгоградской области согласно </w:t>
      </w:r>
      <w:hyperlink w:history="0" r:id="rId15"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приложению</w:t>
        </w:r>
      </w:hyperlink>
      <w:r>
        <w:rPr>
          <w:sz w:val="20"/>
        </w:rPr>
        <w:t xml:space="preserve"> к Правилам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утвержденным постановлением Правительства Российской Федерации от 29 ноября 2023 г. N 2022 (далее именуется - предельное количество СО НКО).</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Комитет для проведения отбора не позднее одного рабочего дня до начала приема заявок на участие в отборе (далее именуются - заявки) размещает на цифровой платформе развития механизмов социального взаимодействия граждан с органами исполнительной власти Волгоградской области, органами местного самоуправления муниципальных образований Волгоградской области "Никто, кроме нас!" в информационно-телекоммуникационной сети Интернет (</w:t>
      </w:r>
      <w:hyperlink w:history="0" r:id="rId16">
        <w:r>
          <w:rPr>
            <w:sz w:val="20"/>
            <w:color w:val="0000ff"/>
          </w:rPr>
          <w:t xml:space="preserve">https://niktokromenas.volgograd.ru</w:t>
        </w:r>
      </w:hyperlink>
      <w:r>
        <w:rPr>
          <w:sz w:val="20"/>
        </w:rPr>
        <w:t xml:space="preserve">) (далее именуется - цифровая платформа) и на официальном сайте комитета в составе портала Губернатора и Администрации Волгоградской области в информационно-телекоммуникационной сети Интернет (</w:t>
      </w:r>
      <w:hyperlink w:history="0" r:id="rId17">
        <w:r>
          <w:rPr>
            <w:sz w:val="20"/>
            <w:color w:val="0000ff"/>
          </w:rPr>
          <w:t xml:space="preserve">https://uprt.volgograd.ru</w:t>
        </w:r>
      </w:hyperlink>
      <w:r>
        <w:rPr>
          <w:sz w:val="20"/>
        </w:rPr>
        <w:t xml:space="preserve">) (далее именуется - сайт комитета) объявление о проведении отбора, которое включает в себя следующую информацию:</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дату начала подачи, а также дату окончания приема заявок, которая не может быть ранее 20-го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наименование, место нахождения, почтовый адрес, адрес электронной почты комитета, контактный телефон для получения консультаций по вопросам подготовки заявок;</w:t>
      </w:r>
    </w:p>
    <w:p>
      <w:pPr>
        <w:pStyle w:val="0"/>
        <w:spacing w:before="200" w:line-rule="auto"/>
        <w:ind w:firstLine="540"/>
        <w:jc w:val="both"/>
      </w:pPr>
      <w:r>
        <w:rPr>
          <w:sz w:val="20"/>
        </w:rPr>
        <w:t xml:space="preserve">доменное имя и (или) указатели страниц сайта в информационно-телекоммуникационной сети Интернет, на котором обеспечивается проведение отбора;</w:t>
      </w:r>
    </w:p>
    <w:p>
      <w:pPr>
        <w:pStyle w:val="0"/>
        <w:spacing w:before="200" w:line-rule="auto"/>
        <w:ind w:firstLine="540"/>
        <w:jc w:val="both"/>
      </w:pPr>
      <w:r>
        <w:rPr>
          <w:sz w:val="20"/>
        </w:rPr>
        <w:t xml:space="preserve">требования к участникам отбора, предъявляемые в соответствии с настоящим Порядком, а также перечень документов, представляемых СО НКО для подтверждения их соответствия указанным требованиям;</w:t>
      </w:r>
    </w:p>
    <w:p>
      <w:pPr>
        <w:pStyle w:val="0"/>
        <w:spacing w:before="200" w:line-rule="auto"/>
        <w:ind w:firstLine="540"/>
        <w:jc w:val="both"/>
      </w:pPr>
      <w:r>
        <w:rPr>
          <w:sz w:val="20"/>
        </w:rPr>
        <w:t xml:space="preserve">порядок подачи СО НКО заявок и требования, предъявляемые к форме и содержанию заявок;</w:t>
      </w:r>
    </w:p>
    <w:p>
      <w:pPr>
        <w:pStyle w:val="0"/>
        <w:spacing w:before="200" w:line-rule="auto"/>
        <w:ind w:firstLine="540"/>
        <w:jc w:val="both"/>
      </w:pPr>
      <w:r>
        <w:rPr>
          <w:sz w:val="20"/>
        </w:rPr>
        <w:t xml:space="preserve">порядок отзыва заявок, порядок возврата заявок,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правила рассмотрения заявок;</w:t>
      </w:r>
    </w:p>
    <w:p>
      <w:pPr>
        <w:pStyle w:val="0"/>
        <w:spacing w:before="200" w:line-rule="auto"/>
        <w:ind w:firstLine="540"/>
        <w:jc w:val="both"/>
      </w:pPr>
      <w:r>
        <w:rPr>
          <w:sz w:val="20"/>
        </w:rPr>
        <w:t xml:space="preserve">порядок предоставления СО НКО разъяснений положений объявления о проведении отбора;</w:t>
      </w:r>
    </w:p>
    <w:p>
      <w:pPr>
        <w:pStyle w:val="0"/>
        <w:spacing w:before="200" w:line-rule="auto"/>
        <w:ind w:firstLine="540"/>
        <w:jc w:val="both"/>
      </w:pPr>
      <w:r>
        <w:rPr>
          <w:sz w:val="20"/>
        </w:rPr>
        <w:t xml:space="preserve">дату размещения результатов отбора на цифровой платформе, а также на сайте комитета.</w:t>
      </w:r>
    </w:p>
    <w:bookmarkStart w:id="70" w:name="P70"/>
    <w:bookmarkEnd w:id="70"/>
    <w:p>
      <w:pPr>
        <w:pStyle w:val="0"/>
        <w:spacing w:before="200" w:line-rule="auto"/>
        <w:ind w:firstLine="540"/>
        <w:jc w:val="both"/>
      </w:pPr>
      <w:r>
        <w:rPr>
          <w:sz w:val="20"/>
        </w:rPr>
        <w:t xml:space="preserve">2.2. Требования, которым должна соответствовать СО НКО на дату подачи заявки:</w:t>
      </w:r>
    </w:p>
    <w:bookmarkStart w:id="71" w:name="P71"/>
    <w:bookmarkEnd w:id="71"/>
    <w:p>
      <w:pPr>
        <w:pStyle w:val="0"/>
        <w:spacing w:before="200" w:line-rule="auto"/>
        <w:ind w:firstLine="540"/>
        <w:jc w:val="both"/>
      </w:pPr>
      <w:r>
        <w:rPr>
          <w:sz w:val="20"/>
        </w:rPr>
        <w:t xml:space="preserve">1) СО НКО зарегистрирована как юридическое лицо не менее чем за один год до дня подачи заявки;</w:t>
      </w:r>
    </w:p>
    <w:p>
      <w:pPr>
        <w:pStyle w:val="0"/>
        <w:spacing w:before="200" w:line-rule="auto"/>
        <w:ind w:firstLine="540"/>
        <w:jc w:val="both"/>
      </w:pPr>
      <w:r>
        <w:rPr>
          <w:sz w:val="20"/>
        </w:rPr>
        <w:t xml:space="preserve">2) отсутствие у СО НКО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bookmarkStart w:id="73" w:name="P73"/>
    <w:bookmarkEnd w:id="73"/>
    <w:p>
      <w:pPr>
        <w:pStyle w:val="0"/>
        <w:spacing w:before="200" w:line-rule="auto"/>
        <w:ind w:firstLine="540"/>
        <w:jc w:val="both"/>
      </w:pPr>
      <w:r>
        <w:rPr>
          <w:sz w:val="20"/>
        </w:rPr>
        <w:t xml:space="preserve">3) СО 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bookmarkStart w:id="74" w:name="P74"/>
    <w:bookmarkEnd w:id="74"/>
    <w:p>
      <w:pPr>
        <w:pStyle w:val="0"/>
        <w:spacing w:before="200" w:line-rule="auto"/>
        <w:ind w:firstLine="540"/>
        <w:jc w:val="both"/>
      </w:pPr>
      <w:r>
        <w:rPr>
          <w:sz w:val="20"/>
        </w:rPr>
        <w:t xml:space="preserve">4) СО НКО осуществляет на территории Волгоградской области в соответствии с уставом в том числе один или несколько из следующих видов деятельности:</w:t>
      </w:r>
    </w:p>
    <w:p>
      <w:pPr>
        <w:pStyle w:val="0"/>
        <w:spacing w:before="200" w:line-rule="auto"/>
        <w:ind w:firstLine="540"/>
        <w:jc w:val="both"/>
      </w:pPr>
      <w:r>
        <w:rPr>
          <w:sz w:val="20"/>
        </w:rPr>
        <w:t xml:space="preserve">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0"/>
        <w:spacing w:before="200" w:line-rule="auto"/>
        <w:ind w:firstLine="540"/>
        <w:jc w:val="both"/>
      </w:pPr>
      <w:r>
        <w:rPr>
          <w:sz w:val="20"/>
        </w:rPr>
        <w:t xml:space="preserve">благотворительная деятельность, а также деятельность в области организации и поддержки благотворительности и добровольчества (волонтерства);</w:t>
      </w:r>
    </w:p>
    <w:p>
      <w:pPr>
        <w:pStyle w:val="0"/>
        <w:spacing w:before="200" w:line-rule="auto"/>
        <w:ind w:firstLine="540"/>
        <w:jc w:val="both"/>
      </w:pPr>
      <w:r>
        <w:rPr>
          <w:sz w:val="20"/>
        </w:rPr>
        <w:t xml:space="preserve">деятельность в сфере патриотического, в том числе военно-патриотического, воспитания граждан Российской Федерации;</w:t>
      </w:r>
    </w:p>
    <w:p>
      <w:pPr>
        <w:pStyle w:val="0"/>
        <w:spacing w:before="200" w:line-rule="auto"/>
        <w:ind w:firstLine="540"/>
        <w:jc w:val="both"/>
      </w:pPr>
      <w:r>
        <w:rPr>
          <w:sz w:val="20"/>
        </w:rPr>
        <w:t xml:space="preserve">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0"/>
        <w:spacing w:before="200" w:line-rule="auto"/>
        <w:ind w:firstLine="540"/>
        <w:jc w:val="both"/>
      </w:pPr>
      <w:r>
        <w:rPr>
          <w:sz w:val="20"/>
        </w:rPr>
        <w:t xml:space="preserve">5) СО НКО не является российским юридическим лицом, учредителями (участниками, членами) которого являются иностранные граждане и (или) организации либо лица без гражданства;</w:t>
      </w:r>
    </w:p>
    <w:p>
      <w:pPr>
        <w:pStyle w:val="0"/>
        <w:spacing w:before="200" w:line-rule="auto"/>
        <w:ind w:firstLine="540"/>
        <w:jc w:val="both"/>
      </w:pPr>
      <w:r>
        <w:rPr>
          <w:sz w:val="20"/>
        </w:rPr>
        <w:t xml:space="preserve">6) СО НКО не является получателем средств из федерального бюджета, областного бюджета и местного бюджета на цели обеспечения доступа пользователей к информации, размещаемой СО НКО на своем официальном сайте в информационно-телекоммуникационной сети Интернет;</w:t>
      </w:r>
    </w:p>
    <w:p>
      <w:pPr>
        <w:pStyle w:val="0"/>
        <w:spacing w:before="200" w:line-rule="auto"/>
        <w:ind w:firstLine="540"/>
        <w:jc w:val="both"/>
      </w:pPr>
      <w:r>
        <w:rPr>
          <w:sz w:val="20"/>
        </w:rPr>
        <w:t xml:space="preserve">7) СО НКО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w:history="0" r:id="rId1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8) СО НКО не включена в реестр иностранных агентов;</w:t>
      </w:r>
    </w:p>
    <w:p>
      <w:pPr>
        <w:pStyle w:val="0"/>
        <w:spacing w:before="200" w:line-rule="auto"/>
        <w:ind w:firstLine="540"/>
        <w:jc w:val="both"/>
      </w:pPr>
      <w:r>
        <w:rPr>
          <w:sz w:val="20"/>
        </w:rPr>
        <w:t xml:space="preserve">9) в отношении СО НКО отсутствуют факты привлечения к административной ответственности по административным правонарушениям, предусмотренным </w:t>
      </w:r>
      <w:hyperlink w:history="0" r:id="rId19" w:tooltip="&quot;Кодекс Российской Федерации об административных правонарушениях&quot; от 30.12.2001 N 195-ФЗ (ред. от 26.12.2024) (с изм. и доп., вступ. в силу с 01.01.2025) {КонсультантПлюс}">
        <w:r>
          <w:rPr>
            <w:sz w:val="20"/>
            <w:color w:val="0000ff"/>
          </w:rPr>
          <w:t xml:space="preserve">статьями 13.15</w:t>
        </w:r>
      </w:hyperlink>
      <w:r>
        <w:rPr>
          <w:sz w:val="20"/>
        </w:rPr>
        <w:t xml:space="preserve">, </w:t>
      </w:r>
      <w:hyperlink w:history="0" r:id="rId20" w:tooltip="&quot;Кодекс Российской Федерации об административных правонарушениях&quot; от 30.12.2001 N 195-ФЗ (ред. от 26.12.2024) (с изм. и доп., вступ. в силу с 01.01.2025) {КонсультантПлюс}">
        <w:r>
          <w:rPr>
            <w:sz w:val="20"/>
            <w:color w:val="0000ff"/>
          </w:rPr>
          <w:t xml:space="preserve">20.2</w:t>
        </w:r>
      </w:hyperlink>
      <w:r>
        <w:rPr>
          <w:sz w:val="20"/>
        </w:rPr>
        <w:t xml:space="preserve">, </w:t>
      </w:r>
      <w:hyperlink w:history="0" r:id="rId21" w:tooltip="&quot;Кодекс Российской Федерации об административных правонарушениях&quot; от 30.12.2001 N 195-ФЗ (ред. от 26.12.2024) (с изм. и доп., вступ. в силу с 01.01.2025) {КонсультантПлюс}">
        <w:r>
          <w:rPr>
            <w:sz w:val="20"/>
            <w:color w:val="0000ff"/>
          </w:rPr>
          <w:t xml:space="preserve">20.3.3</w:t>
        </w:r>
      </w:hyperlink>
      <w:r>
        <w:rPr>
          <w:sz w:val="20"/>
        </w:rPr>
        <w:t xml:space="preserve"> Кодекса Российской Федерации об административных правонарушениях.</w:t>
      </w:r>
    </w:p>
    <w:bookmarkStart w:id="84" w:name="P84"/>
    <w:bookmarkEnd w:id="84"/>
    <w:p>
      <w:pPr>
        <w:pStyle w:val="0"/>
        <w:spacing w:before="200" w:line-rule="auto"/>
        <w:ind w:firstLine="540"/>
        <w:jc w:val="both"/>
      </w:pPr>
      <w:r>
        <w:rPr>
          <w:sz w:val="20"/>
        </w:rPr>
        <w:t xml:space="preserve">2.3. Для участия в отборе руководитель СО НКО (лицо, уполномоченное действовать от имени СО НКО) представляет в комитет через цифровую платформу посредством заполнения соответствующих электронных форм в сервисе "Субсидии СО НКО":</w:t>
      </w:r>
    </w:p>
    <w:p>
      <w:pPr>
        <w:pStyle w:val="0"/>
        <w:spacing w:before="200" w:line-rule="auto"/>
        <w:ind w:firstLine="540"/>
        <w:jc w:val="both"/>
      </w:pPr>
      <w:r>
        <w:rPr>
          <w:sz w:val="20"/>
        </w:rPr>
        <w:t xml:space="preserve">заявку по форме, утвержденной комитетом, в формате pdf в сроки, указанные в объявлении о проведении отбора;</w:t>
      </w:r>
    </w:p>
    <w:p>
      <w:pPr>
        <w:pStyle w:val="0"/>
        <w:spacing w:before="200" w:line-rule="auto"/>
        <w:ind w:firstLine="540"/>
        <w:jc w:val="both"/>
      </w:pPr>
      <w:r>
        <w:rPr>
          <w:sz w:val="20"/>
        </w:rPr>
        <w:t xml:space="preserve">электронную (отсканированную) копию действующей редакции устава СО НКО (со всеми внесенными изменениями);</w:t>
      </w:r>
    </w:p>
    <w:p>
      <w:pPr>
        <w:pStyle w:val="0"/>
        <w:spacing w:before="200" w:line-rule="auto"/>
        <w:ind w:firstLine="540"/>
        <w:jc w:val="both"/>
      </w:pPr>
      <w:r>
        <w:rPr>
          <w:sz w:val="20"/>
        </w:rPr>
        <w:t xml:space="preserve">документы (информацию) о мероприятиях по видам деятельности, указанным в </w:t>
      </w:r>
      <w:hyperlink w:history="0" w:anchor="P74" w:tooltip="4) СО НКО осуществляет на территории Волгоградской области в соответствии с уставом в том числе один или несколько из следующих видов деятельности:">
        <w:r>
          <w:rPr>
            <w:sz w:val="20"/>
            <w:color w:val="0000ff"/>
          </w:rPr>
          <w:t xml:space="preserve">подпункте 4 пункта 2.2</w:t>
        </w:r>
      </w:hyperlink>
      <w:r>
        <w:rPr>
          <w:sz w:val="20"/>
        </w:rPr>
        <w:t xml:space="preserve"> настоящего Порядка, реализованных на территории Волгоградской области за год, предшествующий дате подачи заявки, информация о которых размещена в средствах массовой информации [пресса, телевидение, радио, официальный сайт, официальные страницы (группы) в информационно-телекоммуникационной сети Интернет] за год, предшествующий дате подачи заявки;</w:t>
      </w:r>
    </w:p>
    <w:p>
      <w:pPr>
        <w:pStyle w:val="0"/>
        <w:spacing w:before="200" w:line-rule="auto"/>
        <w:ind w:firstLine="540"/>
        <w:jc w:val="both"/>
      </w:pPr>
      <w:r>
        <w:rPr>
          <w:sz w:val="20"/>
        </w:rPr>
        <w:t xml:space="preserve">электронную (отсканированную) копию документа, подтверждающего полномочия лица на подачу заявки от имени СО НКО, в случае если заявку подает лицо, сведения о котором как о лице, имеющем право без доверенности действовать от имени СО НКО, не содержатся в Едином государственном реестре юридических лиц.</w:t>
      </w:r>
    </w:p>
    <w:p>
      <w:pPr>
        <w:pStyle w:val="0"/>
        <w:spacing w:before="200" w:line-rule="auto"/>
        <w:ind w:firstLine="540"/>
        <w:jc w:val="both"/>
      </w:pPr>
      <w:r>
        <w:rPr>
          <w:sz w:val="20"/>
        </w:rPr>
        <w:t xml:space="preserve">2.4. Заявка, поступившая в комитет, регистрируется в сервисе "Субсидии СО НКО".</w:t>
      </w:r>
    </w:p>
    <w:p>
      <w:pPr>
        <w:pStyle w:val="0"/>
        <w:spacing w:before="200" w:line-rule="auto"/>
        <w:ind w:firstLine="540"/>
        <w:jc w:val="both"/>
      </w:pPr>
      <w:r>
        <w:rPr>
          <w:sz w:val="20"/>
        </w:rPr>
        <w:t xml:space="preserve">2.5. СО НКО имеет право однократно внести изменения в заявку в соответствии с порядком внесения изменений в заявки, указанным в объявлении о проведении конкурса, до окончания срока приема заявок.</w:t>
      </w:r>
    </w:p>
    <w:p>
      <w:pPr>
        <w:pStyle w:val="0"/>
        <w:spacing w:before="200" w:line-rule="auto"/>
        <w:ind w:firstLine="540"/>
        <w:jc w:val="both"/>
      </w:pPr>
      <w:r>
        <w:rPr>
          <w:sz w:val="20"/>
        </w:rPr>
        <w:t xml:space="preserve">Заявка может быть отозвана в соответствии с порядком отзыва заявок, указанным в объявлении о проведении отбора, до окончания срока приема заявок. Отозванные заявки не учитываются при определении количества заявок, представленных для участия в отборе.</w:t>
      </w:r>
    </w:p>
    <w:bookmarkStart w:id="92" w:name="P92"/>
    <w:bookmarkEnd w:id="92"/>
    <w:p>
      <w:pPr>
        <w:pStyle w:val="0"/>
        <w:spacing w:before="200" w:line-rule="auto"/>
        <w:ind w:firstLine="540"/>
        <w:jc w:val="both"/>
      </w:pPr>
      <w:r>
        <w:rPr>
          <w:sz w:val="20"/>
        </w:rPr>
        <w:t xml:space="preserve">2.6. Комитет в течение пяти рабочих дней с даты окончания приема заявок с использованием данных государственных информационных систем и посредством системы межведомственного электронного взаимодействия осуществляет сбор информации о соответствии СО НКО, подавшей заявку, требованиям, указанным в </w:t>
      </w:r>
      <w:hyperlink w:history="0" w:anchor="P70" w:tooltip="2.2. Требования, которым должна соответствовать СО НКО на дату подачи заявки:">
        <w:r>
          <w:rPr>
            <w:sz w:val="20"/>
            <w:color w:val="0000ff"/>
          </w:rPr>
          <w:t xml:space="preserve">пункте 2.2</w:t>
        </w:r>
      </w:hyperlink>
      <w:r>
        <w:rPr>
          <w:sz w:val="20"/>
        </w:rPr>
        <w:t xml:space="preserve"> настоящего Порядка.</w:t>
      </w:r>
    </w:p>
    <w:bookmarkStart w:id="93" w:name="P93"/>
    <w:bookmarkEnd w:id="93"/>
    <w:p>
      <w:pPr>
        <w:pStyle w:val="0"/>
        <w:spacing w:before="200" w:line-rule="auto"/>
        <w:ind w:firstLine="540"/>
        <w:jc w:val="both"/>
      </w:pPr>
      <w:r>
        <w:rPr>
          <w:sz w:val="20"/>
        </w:rPr>
        <w:t xml:space="preserve">2.7. СО НКО вправе представить в комитет для подтверждения соответствия СО НКО требованиям, установленным </w:t>
      </w:r>
      <w:hyperlink w:history="0" w:anchor="P71" w:tooltip="1) СО НКО зарегистрирована как юридическое лицо не менее чем за один год до дня подачи заявки;">
        <w:r>
          <w:rPr>
            <w:sz w:val="20"/>
            <w:color w:val="0000ff"/>
          </w:rPr>
          <w:t xml:space="preserve">подпунктами 1</w:t>
        </w:r>
      </w:hyperlink>
      <w:r>
        <w:rPr>
          <w:sz w:val="20"/>
        </w:rPr>
        <w:t xml:space="preserve"> - </w:t>
      </w:r>
      <w:hyperlink w:history="0" w:anchor="P73" w:tooltip="3) СО 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
        <w:r>
          <w:rPr>
            <w:sz w:val="20"/>
            <w:color w:val="0000ff"/>
          </w:rPr>
          <w:t xml:space="preserve">3 пункта 2.2</w:t>
        </w:r>
      </w:hyperlink>
      <w:r>
        <w:rPr>
          <w:sz w:val="20"/>
        </w:rPr>
        <w:t xml:space="preserve"> настоящего Порядка, выписку из Единого государственного реестра юридических лиц (далее именуется - выписка), подписанную руководителем СО НКО (лицом, уполномоченным действовать от имени СО НКО) 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(далее именуется - справка). Выписка, справка должны быть выданы (оформлены) не ранее первого числа месяца подачи заявки. В случае представления СО НКО указанных выписки, справки сбор информации о соответствии СО НКО, подавшей заявку, требованиям, указанным в </w:t>
      </w:r>
      <w:hyperlink w:history="0" w:anchor="P71" w:tooltip="1) СО НКО зарегистрирована как юридическое лицо не менее чем за один год до дня подачи заявки;">
        <w:r>
          <w:rPr>
            <w:sz w:val="20"/>
            <w:color w:val="0000ff"/>
          </w:rPr>
          <w:t xml:space="preserve">подпунктах 1</w:t>
        </w:r>
      </w:hyperlink>
      <w:r>
        <w:rPr>
          <w:sz w:val="20"/>
        </w:rPr>
        <w:t xml:space="preserve"> - </w:t>
      </w:r>
      <w:hyperlink w:history="0" w:anchor="P73" w:tooltip="3) СО 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
        <w:r>
          <w:rPr>
            <w:sz w:val="20"/>
            <w:color w:val="0000ff"/>
          </w:rPr>
          <w:t xml:space="preserve">3 пункта 2.2</w:t>
        </w:r>
      </w:hyperlink>
      <w:r>
        <w:rPr>
          <w:sz w:val="20"/>
        </w:rPr>
        <w:t xml:space="preserve"> настоящего Порядка, комитетом не осуществляется.</w:t>
      </w:r>
    </w:p>
    <w:p>
      <w:pPr>
        <w:pStyle w:val="0"/>
        <w:spacing w:before="200" w:line-rule="auto"/>
        <w:ind w:firstLine="540"/>
        <w:jc w:val="both"/>
      </w:pPr>
      <w:r>
        <w:rPr>
          <w:sz w:val="20"/>
        </w:rPr>
        <w:t xml:space="preserve">В случае представления выписки, справки, выданных (оформленных) ранее установленного срока, комитет осуществляет сбор соответствующей информации в порядке и сроки, установленные </w:t>
      </w:r>
      <w:hyperlink w:history="0" w:anchor="P92" w:tooltip="2.6. Комитет в течение пяти рабочих дней с даты окончания приема заявок с использованием данных государственных информационных систем и посредством системы межведомственного электронного взаимодействия осуществляет сбор информации о соответствии СО НКО, подавшей заявку, требованиям, указанным в пункте 2.2 настоящего Порядка.">
        <w:r>
          <w:rPr>
            <w:sz w:val="20"/>
            <w:color w:val="0000ff"/>
          </w:rPr>
          <w:t xml:space="preserve">пунктом 2.6</w:t>
        </w:r>
      </w:hyperlink>
      <w:r>
        <w:rPr>
          <w:sz w:val="20"/>
        </w:rPr>
        <w:t xml:space="preserve"> настоящего Порядка.</w:t>
      </w:r>
    </w:p>
    <w:p>
      <w:pPr>
        <w:pStyle w:val="0"/>
        <w:spacing w:before="200" w:line-rule="auto"/>
        <w:ind w:firstLine="540"/>
        <w:jc w:val="both"/>
      </w:pPr>
      <w:r>
        <w:rPr>
          <w:sz w:val="20"/>
        </w:rPr>
        <w:t xml:space="preserve">2.8. Документы (информация), подтверждающие соответствие СО НКО требованиям, установленным </w:t>
      </w:r>
      <w:hyperlink w:history="0" w:anchor="P70" w:tooltip="2.2. Требования, которым должна соответствовать СО НКО на дату подачи заявки:">
        <w:r>
          <w:rPr>
            <w:sz w:val="20"/>
            <w:color w:val="0000ff"/>
          </w:rPr>
          <w:t xml:space="preserve">пунктом 2.2</w:t>
        </w:r>
      </w:hyperlink>
      <w:r>
        <w:rPr>
          <w:sz w:val="20"/>
        </w:rPr>
        <w:t xml:space="preserve"> настоящего Порядка, полученные комитетом с использованием данных государственных информационных систем и посредством системы межведомственного электронного взаимодействия, а также документы, указанные в </w:t>
      </w:r>
      <w:hyperlink w:history="0" w:anchor="P84" w:tooltip="2.3. Для участия в отборе руководитель СО НКО (лицо, уполномоченное действовать от имени СО НКО) представляет в комитет через цифровую платформу посредством заполнения соответствующих электронных форм в сервисе &quot;Субсидии СО НКО&quot;:">
        <w:r>
          <w:rPr>
            <w:sz w:val="20"/>
            <w:color w:val="0000ff"/>
          </w:rPr>
          <w:t xml:space="preserve">пунктах 2.3</w:t>
        </w:r>
      </w:hyperlink>
      <w:r>
        <w:rPr>
          <w:sz w:val="20"/>
        </w:rPr>
        <w:t xml:space="preserve">, </w:t>
      </w:r>
      <w:hyperlink w:history="0" w:anchor="P93" w:tooltip="2.7. СО НКО вправе представить в комитет для подтверждения соответствия СО НКО требованиям, установленным подпунктами 1 - 3 пункта 2.2 настоящего Порядка, выписку из Единого государственного реестра юридических лиц (далее именуется - выписка), подписанную руководителем СО НКО (лицом, уполномоченным действовать от имени СО НКО) 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
        <w:r>
          <w:rPr>
            <w:sz w:val="20"/>
            <w:color w:val="0000ff"/>
          </w:rPr>
          <w:t xml:space="preserve">2.7</w:t>
        </w:r>
      </w:hyperlink>
      <w:r>
        <w:rPr>
          <w:sz w:val="20"/>
        </w:rPr>
        <w:t xml:space="preserve"> настоящего Порядка, представленные участником отбора, в течение семи рабочих дней с даты окончания приема заявок передаются комиссии для рассмотрения и оценки заявок.</w:t>
      </w:r>
    </w:p>
    <w:p>
      <w:pPr>
        <w:pStyle w:val="0"/>
        <w:spacing w:before="200" w:line-rule="auto"/>
        <w:ind w:firstLine="540"/>
        <w:jc w:val="both"/>
      </w:pPr>
      <w:r>
        <w:rPr>
          <w:sz w:val="20"/>
        </w:rPr>
        <w:t xml:space="preserve">2.9. Рассмотрение и оценка заявок осуществляется комиссией, созданной комитетом для этих целей. Положение о комиссии и ее состав утверждаются комитетом.</w:t>
      </w:r>
    </w:p>
    <w:p>
      <w:pPr>
        <w:pStyle w:val="0"/>
        <w:spacing w:before="200" w:line-rule="auto"/>
        <w:ind w:firstLine="540"/>
        <w:jc w:val="both"/>
      </w:pPr>
      <w:r>
        <w:rPr>
          <w:sz w:val="20"/>
        </w:rPr>
        <w:t xml:space="preserve">2.10. Комиссия не позднее 20 рабочих дней с даты окончания приема заявок:</w:t>
      </w:r>
    </w:p>
    <w:p>
      <w:pPr>
        <w:pStyle w:val="0"/>
        <w:spacing w:before="200" w:line-rule="auto"/>
        <w:ind w:firstLine="540"/>
        <w:jc w:val="both"/>
      </w:pPr>
      <w:r>
        <w:rPr>
          <w:sz w:val="20"/>
        </w:rPr>
        <w:t xml:space="preserve">осуществляет проверку на соответствие участника отбора условиям и требованиям, установленным </w:t>
      </w:r>
      <w:hyperlink w:history="0" w:anchor="P53" w:tooltip="1.4. Участниками отбора являются некоммерческие организации, осуществляющие деятельность в качестве юридического лица на территории Волгоградской области,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 N 1290 &quot;О реестре социально ориентированных некоммерческих организаций&quot; и соответствующие требованиям, определенным подпунктом 4 пункта 2.2 настоящего Порядка.">
        <w:r>
          <w:rPr>
            <w:sz w:val="20"/>
            <w:color w:val="0000ff"/>
          </w:rPr>
          <w:t xml:space="preserve">пунктами 1.4</w:t>
        </w:r>
      </w:hyperlink>
      <w:r>
        <w:rPr>
          <w:sz w:val="20"/>
        </w:rPr>
        <w:t xml:space="preserve">, </w:t>
      </w:r>
      <w:hyperlink w:history="0" w:anchor="P70" w:tooltip="2.2. Требования, которым должна соответствовать СО НКО на дату подачи заявки:">
        <w:r>
          <w:rPr>
            <w:sz w:val="20"/>
            <w:color w:val="0000ff"/>
          </w:rPr>
          <w:t xml:space="preserve">2.2</w:t>
        </w:r>
      </w:hyperlink>
      <w:r>
        <w:rPr>
          <w:sz w:val="20"/>
        </w:rPr>
        <w:t xml:space="preserve"> настоящего Порядка;</w:t>
      </w:r>
    </w:p>
    <w:p>
      <w:pPr>
        <w:pStyle w:val="0"/>
        <w:spacing w:before="200" w:line-rule="auto"/>
        <w:ind w:firstLine="540"/>
        <w:jc w:val="both"/>
      </w:pPr>
      <w:r>
        <w:rPr>
          <w:sz w:val="20"/>
        </w:rPr>
        <w:t xml:space="preserve">рассматривает представленные документы на соответствие требованиям, установленным </w:t>
      </w:r>
      <w:hyperlink w:history="0" w:anchor="P84" w:tooltip="2.3. Для участия в отборе руководитель СО НКО (лицо, уполномоченное действовать от имени СО НКО) представляет в комитет через цифровую платформу посредством заполнения соответствующих электронных форм в сервисе &quot;Субсидии СО НКО&quot;:">
        <w:r>
          <w:rPr>
            <w:sz w:val="20"/>
            <w:color w:val="0000ff"/>
          </w:rPr>
          <w:t xml:space="preserve">пунктом 2.3</w:t>
        </w:r>
      </w:hyperlink>
      <w:r>
        <w:rPr>
          <w:sz w:val="20"/>
        </w:rPr>
        <w:t xml:space="preserve"> настоящего Порядка;</w:t>
      </w:r>
    </w:p>
    <w:p>
      <w:pPr>
        <w:pStyle w:val="0"/>
        <w:spacing w:before="200" w:line-rule="auto"/>
        <w:ind w:firstLine="540"/>
        <w:jc w:val="both"/>
      </w:pPr>
      <w:r>
        <w:rPr>
          <w:sz w:val="20"/>
        </w:rPr>
        <w:t xml:space="preserve">принимает решение о допуске заявки к участию в отборе либо об отклонении заявки.</w:t>
      </w:r>
    </w:p>
    <w:p>
      <w:pPr>
        <w:pStyle w:val="0"/>
        <w:spacing w:before="200" w:line-rule="auto"/>
        <w:ind w:firstLine="540"/>
        <w:jc w:val="both"/>
      </w:pPr>
      <w:r>
        <w:rPr>
          <w:sz w:val="20"/>
        </w:rPr>
        <w:t xml:space="preserve">2.11. Основаниями для принятия решения об отклонении заявки являются:</w:t>
      </w:r>
    </w:p>
    <w:p>
      <w:pPr>
        <w:pStyle w:val="0"/>
        <w:spacing w:before="200" w:line-rule="auto"/>
        <w:ind w:firstLine="540"/>
        <w:jc w:val="both"/>
      </w:pPr>
      <w:r>
        <w:rPr>
          <w:sz w:val="20"/>
        </w:rPr>
        <w:t xml:space="preserve">несоответствие участника отбора требованиям, установленным </w:t>
      </w:r>
      <w:hyperlink w:history="0" w:anchor="P53" w:tooltip="1.4. Участниками отбора являются некоммерческие организации, осуществляющие деятельность в качестве юридического лица на территории Волгоградской области,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 N 1290 &quot;О реестре социально ориентированных некоммерческих организаций&quot; и соответствующие требованиям, определенным подпунктом 4 пункта 2.2 настоящего Порядка.">
        <w:r>
          <w:rPr>
            <w:sz w:val="20"/>
            <w:color w:val="0000ff"/>
          </w:rPr>
          <w:t xml:space="preserve">пунктами 1.4</w:t>
        </w:r>
      </w:hyperlink>
      <w:r>
        <w:rPr>
          <w:sz w:val="20"/>
        </w:rPr>
        <w:t xml:space="preserve">, </w:t>
      </w:r>
      <w:hyperlink w:history="0" w:anchor="P70" w:tooltip="2.2. Требования, которым должна соответствовать СО НКО на дату подачи заявки:">
        <w:r>
          <w:rPr>
            <w:sz w:val="20"/>
            <w:color w:val="0000ff"/>
          </w:rPr>
          <w:t xml:space="preserve">2.2</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участником отбора заявки и документов требованиям, установленным </w:t>
      </w:r>
      <w:hyperlink w:history="0" w:anchor="P84" w:tooltip="2.3. Для участия в отборе руководитель СО НКО (лицо, уполномоченное действовать от имени СО НКО) представляет в комитет через цифровую платформу посредством заполнения соответствующих электронных форм в сервисе &quot;Субсидии СО НКО&quot;:">
        <w:r>
          <w:rPr>
            <w:sz w:val="20"/>
            <w:color w:val="0000ff"/>
          </w:rPr>
          <w:t xml:space="preserve">пунктом 2.3</w:t>
        </w:r>
      </w:hyperlink>
      <w:r>
        <w:rPr>
          <w:sz w:val="20"/>
        </w:rPr>
        <w:t xml:space="preserve"> настоящего Порядка;</w:t>
      </w:r>
    </w:p>
    <w:p>
      <w:pPr>
        <w:pStyle w:val="0"/>
        <w:spacing w:before="200" w:line-rule="auto"/>
        <w:ind w:firstLine="540"/>
        <w:jc w:val="both"/>
      </w:pPr>
      <w:r>
        <w:rPr>
          <w:sz w:val="20"/>
        </w:rPr>
        <w:t xml:space="preserve">недостоверность представленной участником отбора информации, в том числе информации о месте нахождения (адресе) юридического лица;</w:t>
      </w:r>
    </w:p>
    <w:p>
      <w:pPr>
        <w:pStyle w:val="0"/>
        <w:spacing w:before="200" w:line-rule="auto"/>
        <w:ind w:firstLine="540"/>
        <w:jc w:val="both"/>
      </w:pPr>
      <w:r>
        <w:rPr>
          <w:sz w:val="20"/>
        </w:rPr>
        <w:t xml:space="preserve">подача участником отбора заявки после даты окончания приема заявок, определенной в объявлении о проведении отбора.</w:t>
      </w:r>
    </w:p>
    <w:p>
      <w:pPr>
        <w:pStyle w:val="0"/>
        <w:spacing w:before="200" w:line-rule="auto"/>
        <w:ind w:firstLine="540"/>
        <w:jc w:val="both"/>
      </w:pPr>
      <w:r>
        <w:rPr>
          <w:sz w:val="20"/>
        </w:rPr>
        <w:t xml:space="preserve">2.12. Решение комиссии о допуске заявки к участию в отборе или об отклонении заявки с указанием причин отклонения в течение 20 рабочих дней с даты окончания приема заявок оформляется протоколом, который передается комиссией в комитет в течение одного рабочего дня со дня его подписания.</w:t>
      </w:r>
    </w:p>
    <w:p>
      <w:pPr>
        <w:pStyle w:val="0"/>
        <w:spacing w:before="200" w:line-rule="auto"/>
        <w:ind w:firstLine="540"/>
        <w:jc w:val="both"/>
      </w:pPr>
      <w:r>
        <w:rPr>
          <w:sz w:val="20"/>
        </w:rPr>
        <w:t xml:space="preserve">Комиссия в течение одного рабочего дня со дня принятия решения об отклонении заявки направляет уведомление об отклонении заявки с указанием причин ее отклонения посредством цифровой платформы в личный кабинет участника отбора в подраздел "Мои заявки" сервиса "Субсидии СО НКО".</w:t>
      </w:r>
    </w:p>
    <w:p>
      <w:pPr>
        <w:pStyle w:val="0"/>
        <w:spacing w:before="200" w:line-rule="auto"/>
        <w:ind w:firstLine="540"/>
        <w:jc w:val="both"/>
      </w:pPr>
      <w:r>
        <w:rPr>
          <w:sz w:val="20"/>
        </w:rPr>
        <w:t xml:space="preserve">2.13. Комиссия в течение 30 рабочих дней с даты окончания приема заявок:</w:t>
      </w:r>
    </w:p>
    <w:p>
      <w:pPr>
        <w:pStyle w:val="0"/>
        <w:spacing w:before="200" w:line-rule="auto"/>
        <w:ind w:firstLine="540"/>
        <w:jc w:val="both"/>
      </w:pPr>
      <w:r>
        <w:rPr>
          <w:sz w:val="20"/>
        </w:rPr>
        <w:t xml:space="preserve">1) осуществляет рассмотрение и оценку заявок, допущенных к участию в отборе. Оценка заявок осуществляется с применением балльной системы в соответствии с </w:t>
      </w:r>
      <w:hyperlink w:history="0" w:anchor="P152" w:tooltip="КРИТЕРИИ ОЦЕНКИ ЗАЯВОК НА УЧАСТИЕ В ОТБОРЕ СОЦИАЛЬНО">
        <w:r>
          <w:rPr>
            <w:sz w:val="20"/>
            <w:color w:val="0000ff"/>
          </w:rPr>
          <w:t xml:space="preserve">критериями</w:t>
        </w:r>
      </w:hyperlink>
      <w:r>
        <w:rPr>
          <w:sz w:val="20"/>
        </w:rPr>
        <w:t xml:space="preserve"> оценки заявок, указанными в приложении к настоящему Порядку. Итоговая оценка заявки определяется как сумма баллов, полученных по каждому из критериев оценки заявок;</w:t>
      </w:r>
    </w:p>
    <w:p>
      <w:pPr>
        <w:pStyle w:val="0"/>
        <w:spacing w:before="200" w:line-rule="auto"/>
        <w:ind w:firstLine="540"/>
        <w:jc w:val="both"/>
      </w:pPr>
      <w:r>
        <w:rPr>
          <w:sz w:val="20"/>
        </w:rPr>
        <w:t xml:space="preserve">2) по итогам оценки каждой заявке присваивается порядковый номер по мере уменьшения итоговой оценки заявки. Заявке, которая получила наибольшую итоговую оценку, присваивается первый номер. При равенстве итоговых оценок у нескольких СО НКО меньший порядковый номер присваивается заявке, которая зарегистрирована раньше;</w:t>
      </w:r>
    </w:p>
    <w:p>
      <w:pPr>
        <w:pStyle w:val="0"/>
        <w:spacing w:before="200" w:line-rule="auto"/>
        <w:ind w:firstLine="540"/>
        <w:jc w:val="both"/>
      </w:pPr>
      <w:r>
        <w:rPr>
          <w:sz w:val="20"/>
        </w:rPr>
        <w:t xml:space="preserve">3) по результатам рассмотрения и оценки заявок принимает решение о включении участника отбора в перечень СО НКО Волгоградской области, по результатам отбора имеющих право на получение информационной поддержки (далее именуется - Перечень), или решение о невключении участника отбора в Перечень. В Перечень включаются СО НКО в соответствии с порядковыми номерами, присвоенными заявкам, начиная с заявки, которой присвоен первый номер, и далее в порядке возрастания номеров заявок до достижения предельного количества СО НКО;</w:t>
      </w:r>
    </w:p>
    <w:p>
      <w:pPr>
        <w:pStyle w:val="0"/>
        <w:spacing w:before="200" w:line-rule="auto"/>
        <w:ind w:firstLine="540"/>
        <w:jc w:val="both"/>
      </w:pPr>
      <w:r>
        <w:rPr>
          <w:sz w:val="20"/>
        </w:rPr>
        <w:t xml:space="preserve">4) формирует протокол заседания комиссии с указанием даты, времени и места проведения отбора, информации об участниках отбора, чьи заявки допущены к участию в отборе, об участниках отбора, включенных в Перечень, и набранных ими итоговых баллах. Протокол в течение трех рабочих дней со дня подписания передается комиссией в комитет.</w:t>
      </w:r>
    </w:p>
    <w:p>
      <w:pPr>
        <w:pStyle w:val="0"/>
        <w:spacing w:before="200" w:line-rule="auto"/>
        <w:ind w:firstLine="540"/>
        <w:jc w:val="both"/>
      </w:pPr>
      <w:r>
        <w:rPr>
          <w:sz w:val="20"/>
        </w:rPr>
        <w:t xml:space="preserve">2.14. Перечень должен содержать следующие сведения в отношении каждой СО НКО:</w:t>
      </w:r>
    </w:p>
    <w:p>
      <w:pPr>
        <w:pStyle w:val="0"/>
        <w:spacing w:before="200" w:line-rule="auto"/>
        <w:ind w:firstLine="540"/>
        <w:jc w:val="both"/>
      </w:pPr>
      <w:r>
        <w:rPr>
          <w:sz w:val="20"/>
        </w:rPr>
        <w:t xml:space="preserve">полное и сокращенное наименование СО НКО;</w:t>
      </w:r>
    </w:p>
    <w:p>
      <w:pPr>
        <w:pStyle w:val="0"/>
        <w:spacing w:before="200" w:line-rule="auto"/>
        <w:ind w:firstLine="540"/>
        <w:jc w:val="both"/>
      </w:pPr>
      <w:r>
        <w:rPr>
          <w:sz w:val="20"/>
        </w:rPr>
        <w:t xml:space="preserve">основной государственный регистрационный номер (ОГРН);</w:t>
      </w:r>
    </w:p>
    <w:p>
      <w:pPr>
        <w:pStyle w:val="0"/>
        <w:spacing w:before="200" w:line-rule="auto"/>
        <w:ind w:firstLine="540"/>
        <w:jc w:val="both"/>
      </w:pPr>
      <w:r>
        <w:rPr>
          <w:sz w:val="20"/>
        </w:rPr>
        <w:t xml:space="preserve">контактные данные СО НКО (место нахождения и адрес, номер телефона и адрес электронной почты), руководителя СО НКО (номер телефона и адрес электронной почты).</w:t>
      </w:r>
    </w:p>
    <w:p>
      <w:pPr>
        <w:pStyle w:val="0"/>
        <w:spacing w:before="200" w:line-rule="auto"/>
        <w:ind w:firstLine="540"/>
        <w:jc w:val="both"/>
      </w:pPr>
      <w:r>
        <w:rPr>
          <w:sz w:val="20"/>
        </w:rPr>
        <w:t xml:space="preserve">2.15. Комитет не позднее 14 календарных дней, следующих за днем получения протокола заседания комиссии, на котором были рассмотрены и оценены заявки, допущенные к участию в отборе:</w:t>
      </w:r>
    </w:p>
    <w:p>
      <w:pPr>
        <w:pStyle w:val="0"/>
        <w:spacing w:before="200" w:line-rule="auto"/>
        <w:ind w:firstLine="540"/>
        <w:jc w:val="both"/>
      </w:pPr>
      <w:r>
        <w:rPr>
          <w:sz w:val="20"/>
        </w:rPr>
        <w:t xml:space="preserve">1) утверждает Перечень приказом комитета;</w:t>
      </w:r>
    </w:p>
    <w:p>
      <w:pPr>
        <w:pStyle w:val="0"/>
        <w:spacing w:before="200" w:line-rule="auto"/>
        <w:ind w:firstLine="540"/>
        <w:jc w:val="both"/>
      </w:pPr>
      <w:r>
        <w:rPr>
          <w:sz w:val="20"/>
        </w:rPr>
        <w:t xml:space="preserve">2) размещает на цифровой платформе, а также на сайте комитета информацию о результатах рассмотрения заявок с указанием следующих сведений:</w:t>
      </w:r>
    </w:p>
    <w:p>
      <w:pPr>
        <w:pStyle w:val="0"/>
        <w:spacing w:before="200" w:line-rule="auto"/>
        <w:ind w:firstLine="540"/>
        <w:jc w:val="both"/>
      </w:pPr>
      <w:r>
        <w:rPr>
          <w:sz w:val="20"/>
        </w:rPr>
        <w:t xml:space="preserve">дата, время и место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 и оценены;</w:t>
      </w:r>
    </w:p>
    <w:p>
      <w:pPr>
        <w:pStyle w:val="0"/>
        <w:spacing w:before="200" w:line-rule="auto"/>
        <w:ind w:firstLine="540"/>
        <w:jc w:val="both"/>
      </w:pPr>
      <w:r>
        <w:rPr>
          <w:sz w:val="20"/>
        </w:rPr>
        <w:t xml:space="preserve">наименование участников отбора, включенных в Перечень.</w:t>
      </w:r>
    </w:p>
    <w:p>
      <w:pPr>
        <w:pStyle w:val="0"/>
        <w:spacing w:before="200" w:line-rule="auto"/>
        <w:ind w:firstLine="540"/>
        <w:jc w:val="both"/>
      </w:pPr>
      <w:r>
        <w:rPr>
          <w:sz w:val="20"/>
        </w:rPr>
        <w:t xml:space="preserve">2.16. Дополнительный отбор СО НКО проводится не чаще одного раза в год:</w:t>
      </w:r>
    </w:p>
    <w:p>
      <w:pPr>
        <w:pStyle w:val="0"/>
        <w:spacing w:before="200" w:line-rule="auto"/>
        <w:ind w:firstLine="540"/>
        <w:jc w:val="both"/>
      </w:pPr>
      <w:r>
        <w:rPr>
          <w:sz w:val="20"/>
        </w:rPr>
        <w:t xml:space="preserve">в случае утраты СО НКО, указанной в Перечне, права на получение информационной поддержки в связи с несоответствием ее требованиям, установленным </w:t>
      </w:r>
      <w:hyperlink w:history="0" w:anchor="P70" w:tooltip="2.2. Требования, которым должна соответствовать СО НКО на дату подачи заявки:">
        <w:r>
          <w:rPr>
            <w:sz w:val="20"/>
            <w:color w:val="0000ff"/>
          </w:rPr>
          <w:t xml:space="preserve">пунктом 2.2</w:t>
        </w:r>
      </w:hyperlink>
      <w:r>
        <w:rPr>
          <w:sz w:val="20"/>
        </w:rPr>
        <w:t xml:space="preserve"> настоящего Порядка;</w:t>
      </w:r>
    </w:p>
    <w:p>
      <w:pPr>
        <w:pStyle w:val="0"/>
        <w:spacing w:before="200" w:line-rule="auto"/>
        <w:ind w:firstLine="540"/>
        <w:jc w:val="both"/>
      </w:pPr>
      <w:r>
        <w:rPr>
          <w:sz w:val="20"/>
        </w:rPr>
        <w:t xml:space="preserve">если по результатам проведения отбора в соответствии с настоящим Порядком количество СО НКО, включенных в Перечень, меньше предельного количества СО НКО.</w:t>
      </w:r>
    </w:p>
    <w:p>
      <w:pPr>
        <w:pStyle w:val="0"/>
        <w:spacing w:before="200" w:line-rule="auto"/>
        <w:ind w:firstLine="540"/>
        <w:jc w:val="both"/>
      </w:pPr>
      <w:r>
        <w:rPr>
          <w:sz w:val="20"/>
        </w:rPr>
        <w:t xml:space="preserve">Дополнительный отбор проводится в соответствии с требованиями настоящего Порядка.</w:t>
      </w:r>
    </w:p>
    <w:p>
      <w:pPr>
        <w:pStyle w:val="0"/>
        <w:spacing w:before="200" w:line-rule="auto"/>
        <w:ind w:firstLine="540"/>
        <w:jc w:val="both"/>
      </w:pPr>
      <w:r>
        <w:rPr>
          <w:sz w:val="20"/>
        </w:rPr>
        <w:t xml:space="preserve">2.17. Комитет в течение 30 дней со дня утверждения Перечня, но не позднее 01 октября года проведения отбора обеспечивает направление Перечня в Министерство цифрового развития, связи и массовых коммуникаций Российской Федерации.</w:t>
      </w:r>
    </w:p>
    <w:p>
      <w:pPr>
        <w:pStyle w:val="0"/>
        <w:spacing w:before="200" w:line-rule="auto"/>
        <w:ind w:firstLine="540"/>
        <w:jc w:val="both"/>
      </w:pPr>
      <w:r>
        <w:rPr>
          <w:sz w:val="20"/>
        </w:rPr>
        <w:t xml:space="preserve">В случае изменения сведений, содержащихся в Перечне, в том числе на основании обращения СО НКО, включенной в Перечень, не позднее 15 рабочих дней со дня установления факта такого изменения комитет актуализирует сведения, содержащиеся в Перечне, и обеспечивает направление соответствующей информации в Министерство цифрового развития, связи и массовых коммуникаций Российской Федерации.</w:t>
      </w:r>
    </w:p>
    <w:p>
      <w:pPr>
        <w:pStyle w:val="0"/>
        <w:spacing w:before="200" w:line-rule="auto"/>
        <w:ind w:firstLine="540"/>
        <w:jc w:val="both"/>
      </w:pPr>
      <w:r>
        <w:rPr>
          <w:sz w:val="20"/>
        </w:rPr>
        <w:t xml:space="preserve">2.18. Комитет ежегодно не позднее 01 июля посредством использования государственных автоматизированных информационных систем и (или) межведомственного взаимодействия проверяет информацию (сведения) о соответствии (несоответствии) СО НКО, включенной в Перечень, требованиям, установленным </w:t>
      </w:r>
      <w:hyperlink w:history="0" w:anchor="P70" w:tooltip="2.2. Требования, которым должна соответствовать СО НКО на дату подачи заявки:">
        <w:r>
          <w:rPr>
            <w:sz w:val="20"/>
            <w:color w:val="0000ff"/>
          </w:rPr>
          <w:t xml:space="preserve">пунктом 2.2</w:t>
        </w:r>
      </w:hyperlink>
      <w:r>
        <w:rPr>
          <w:sz w:val="20"/>
        </w:rPr>
        <w:t xml:space="preserve"> настоящего Порядка.</w:t>
      </w:r>
    </w:p>
    <w:p>
      <w:pPr>
        <w:pStyle w:val="0"/>
        <w:spacing w:before="200" w:line-rule="auto"/>
        <w:ind w:firstLine="540"/>
        <w:jc w:val="both"/>
      </w:pPr>
      <w:r>
        <w:rPr>
          <w:sz w:val="20"/>
        </w:rPr>
        <w:t xml:space="preserve">В случае выявления несоответствия сведений о СО НКО, включенной в Перечень, требованиям, установленным </w:t>
      </w:r>
      <w:hyperlink w:history="0" w:anchor="P70" w:tooltip="2.2. Требования, которым должна соответствовать СО НКО на дату подачи заявки:">
        <w:r>
          <w:rPr>
            <w:sz w:val="20"/>
            <w:color w:val="0000ff"/>
          </w:rPr>
          <w:t xml:space="preserve">пунктом 2.2</w:t>
        </w:r>
      </w:hyperlink>
      <w:r>
        <w:rPr>
          <w:sz w:val="20"/>
        </w:rPr>
        <w:t xml:space="preserve"> настоящего Порядка, комитет не позднее пяти рабочих дней со дня выявления факта указанного несоответствия обеспечивает направление в Министерство цифрового развития, связи и массовых коммуникаций Российской Федерации письма об утрате СО НКО, включенной в Перечень, права на получение информационной поддержки.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проведения отбора</w:t>
      </w:r>
    </w:p>
    <w:p>
      <w:pPr>
        <w:pStyle w:val="0"/>
        <w:jc w:val="right"/>
      </w:pPr>
      <w:r>
        <w:rPr>
          <w:sz w:val="20"/>
        </w:rPr>
        <w:t xml:space="preserve">социально ориентированных</w:t>
      </w:r>
    </w:p>
    <w:p>
      <w:pPr>
        <w:pStyle w:val="0"/>
        <w:jc w:val="right"/>
      </w:pPr>
      <w:r>
        <w:rPr>
          <w:sz w:val="20"/>
        </w:rPr>
        <w:t xml:space="preserve">некоммерческих организаций для</w:t>
      </w:r>
    </w:p>
    <w:p>
      <w:pPr>
        <w:pStyle w:val="0"/>
        <w:jc w:val="right"/>
      </w:pPr>
      <w:r>
        <w:rPr>
          <w:sz w:val="20"/>
        </w:rPr>
        <w:t xml:space="preserve">оказания информационной поддержки</w:t>
      </w:r>
    </w:p>
    <w:p>
      <w:pPr>
        <w:pStyle w:val="0"/>
        <w:jc w:val="right"/>
      </w:pPr>
      <w:r>
        <w:rPr>
          <w:sz w:val="20"/>
        </w:rPr>
        <w:t xml:space="preserve">в форме содействия в создании</w:t>
      </w:r>
    </w:p>
    <w:p>
      <w:pPr>
        <w:pStyle w:val="0"/>
        <w:jc w:val="right"/>
      </w:pPr>
      <w:r>
        <w:rPr>
          <w:sz w:val="20"/>
        </w:rPr>
        <w:t xml:space="preserve">официальных сайтов</w:t>
      </w:r>
    </w:p>
    <w:p>
      <w:pPr>
        <w:pStyle w:val="0"/>
        <w:jc w:val="right"/>
      </w:pPr>
      <w:r>
        <w:rPr>
          <w:sz w:val="20"/>
        </w:rPr>
        <w:t xml:space="preserve">в информационно-телекоммуникационной</w:t>
      </w:r>
    </w:p>
    <w:p>
      <w:pPr>
        <w:pStyle w:val="0"/>
        <w:jc w:val="right"/>
      </w:pPr>
      <w:r>
        <w:rPr>
          <w:sz w:val="20"/>
        </w:rPr>
        <w:t xml:space="preserve">сети Интернет и (или) обеспечении</w:t>
      </w:r>
    </w:p>
    <w:p>
      <w:pPr>
        <w:pStyle w:val="0"/>
        <w:jc w:val="right"/>
      </w:pPr>
      <w:r>
        <w:rPr>
          <w:sz w:val="20"/>
        </w:rPr>
        <w:t xml:space="preserve">их функционирования путем</w:t>
      </w:r>
    </w:p>
    <w:p>
      <w:pPr>
        <w:pStyle w:val="0"/>
        <w:jc w:val="right"/>
      </w:pPr>
      <w:r>
        <w:rPr>
          <w:sz w:val="20"/>
        </w:rPr>
        <w:t xml:space="preserve">использования федеральной</w:t>
      </w:r>
    </w:p>
    <w:p>
      <w:pPr>
        <w:pStyle w:val="0"/>
        <w:jc w:val="right"/>
      </w:pPr>
      <w:r>
        <w:rPr>
          <w:sz w:val="20"/>
        </w:rPr>
        <w:t xml:space="preserve">государственной информационной</w:t>
      </w:r>
    </w:p>
    <w:p>
      <w:pPr>
        <w:pStyle w:val="0"/>
        <w:jc w:val="right"/>
      </w:pPr>
      <w:r>
        <w:rPr>
          <w:sz w:val="20"/>
        </w:rPr>
        <w:t xml:space="preserve">системы "Единый портал</w:t>
      </w:r>
    </w:p>
    <w:p>
      <w:pPr>
        <w:pStyle w:val="0"/>
        <w:jc w:val="right"/>
      </w:pPr>
      <w:r>
        <w:rPr>
          <w:sz w:val="20"/>
        </w:rPr>
        <w:t xml:space="preserve">государственных и муниципальных</w:t>
      </w:r>
    </w:p>
    <w:p>
      <w:pPr>
        <w:pStyle w:val="0"/>
        <w:jc w:val="right"/>
      </w:pPr>
      <w:r>
        <w:rPr>
          <w:sz w:val="20"/>
        </w:rPr>
        <w:t xml:space="preserve">услуг (функций)"</w:t>
      </w:r>
    </w:p>
    <w:p>
      <w:pPr>
        <w:pStyle w:val="0"/>
        <w:jc w:val="both"/>
      </w:pPr>
      <w:r>
        <w:rPr>
          <w:sz w:val="20"/>
        </w:rPr>
      </w:r>
    </w:p>
    <w:bookmarkStart w:id="152" w:name="P152"/>
    <w:bookmarkEnd w:id="152"/>
    <w:p>
      <w:pPr>
        <w:pStyle w:val="2"/>
        <w:jc w:val="center"/>
      </w:pPr>
      <w:r>
        <w:rPr>
          <w:sz w:val="20"/>
        </w:rPr>
        <w:t xml:space="preserve">КРИТЕРИИ ОЦЕНКИ ЗАЯВОК НА УЧАСТИЕ В ОТБОРЕ СОЦИАЛЬНО</w:t>
      </w:r>
    </w:p>
    <w:p>
      <w:pPr>
        <w:pStyle w:val="2"/>
        <w:jc w:val="center"/>
      </w:pPr>
      <w:r>
        <w:rPr>
          <w:sz w:val="20"/>
        </w:rPr>
        <w:t xml:space="preserve">ОРИЕНТИРОВАННЫХ НЕКОММЕРЧЕСКИХ ОРГАНИЗАЦИЙ ДЛЯ ОКАЗАНИЯ</w:t>
      </w:r>
    </w:p>
    <w:p>
      <w:pPr>
        <w:pStyle w:val="2"/>
        <w:jc w:val="center"/>
      </w:pPr>
      <w:r>
        <w:rPr>
          <w:sz w:val="20"/>
        </w:rPr>
        <w:t xml:space="preserve">ИНФОРМАЦИОННОЙ ПОДДЕРЖКИ В ФОРМЕ СОДЕЙСТВИЯ В СОЗДАНИИ</w:t>
      </w:r>
    </w:p>
    <w:p>
      <w:pPr>
        <w:pStyle w:val="2"/>
        <w:jc w:val="center"/>
      </w:pPr>
      <w:r>
        <w:rPr>
          <w:sz w:val="20"/>
        </w:rPr>
        <w:t xml:space="preserve">ОФИЦИАЛЬНЫХ САЙТОВ В ИНФОРМАЦИОННО-ТЕЛЕКОММУНИКАЦИОННОЙ СЕТИ</w:t>
      </w:r>
    </w:p>
    <w:p>
      <w:pPr>
        <w:pStyle w:val="2"/>
        <w:jc w:val="center"/>
      </w:pPr>
      <w:r>
        <w:rPr>
          <w:sz w:val="20"/>
        </w:rPr>
        <w:t xml:space="preserve">ИНТЕРНЕТ И (ИЛИ) ОБЕСПЕЧЕНИИ ИХ ФУНКЦИОНИРОВАНИЯ ПУТЕМ</w:t>
      </w:r>
    </w:p>
    <w:p>
      <w:pPr>
        <w:pStyle w:val="2"/>
        <w:jc w:val="center"/>
      </w:pPr>
      <w:r>
        <w:rPr>
          <w:sz w:val="20"/>
        </w:rPr>
        <w:t xml:space="preserve">ИСПОЛЬЗОВАНИЯ ФЕДЕРАЛЬНОЙ ГОСУДАРСТВЕННОЙ ИНФОРМАЦИОННОЙ</w:t>
      </w:r>
    </w:p>
    <w:p>
      <w:pPr>
        <w:pStyle w:val="2"/>
        <w:jc w:val="center"/>
      </w:pPr>
      <w:r>
        <w:rPr>
          <w:sz w:val="20"/>
        </w:rPr>
        <w:t xml:space="preserve">СИСТЕМЫ "ЕДИНЫЙ ПОРТАЛ ГОСУДАРСТВЕННЫХ И МУНИЦИПАЛЬНЫХ УСЛУГ</w:t>
      </w:r>
    </w:p>
    <w:p>
      <w:pPr>
        <w:pStyle w:val="2"/>
        <w:jc w:val="center"/>
      </w:pPr>
      <w:r>
        <w:rPr>
          <w:sz w:val="20"/>
        </w:rPr>
        <w:t xml:space="preserve">(ФУНКЦИЙ)"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color w:val="392c69"/>
              </w:rPr>
              <w:t xml:space="preserve"> Администрации Волгоградской обл.</w:t>
            </w:r>
          </w:p>
          <w:p>
            <w:pPr>
              <w:pStyle w:val="0"/>
              <w:jc w:val="center"/>
            </w:pPr>
            <w:r>
              <w:rPr>
                <w:sz w:val="20"/>
                <w:color w:val="392c69"/>
              </w:rPr>
              <w:t xml:space="preserve">от 25.11.2024 N 686-п)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567"/>
        <w:gridCol w:w="6973"/>
        <w:gridCol w:w="1531"/>
      </w:tblGrid>
      <w:tr>
        <w:tblPrEx>
          <w:tblBorders>
            <w:insideV w:val="single" w:sz="4"/>
            <w:insideH w:val="single" w:sz="4"/>
          </w:tblBorders>
        </w:tblPrEx>
        <w:tc>
          <w:tcPr>
            <w:tcW w:w="567" w:type="dxa"/>
            <w:tcBorders>
              <w:top w:val="single" w:sz="4"/>
              <w:left w:val="nil"/>
              <w:bottom w:val="single" w:sz="4"/>
            </w:tcBorders>
          </w:tcPr>
          <w:p>
            <w:pPr>
              <w:pStyle w:val="0"/>
              <w:jc w:val="center"/>
            </w:pPr>
            <w:r>
              <w:rPr>
                <w:sz w:val="20"/>
              </w:rPr>
              <w:t xml:space="preserve">N</w:t>
            </w:r>
          </w:p>
          <w:p>
            <w:pPr>
              <w:pStyle w:val="0"/>
              <w:jc w:val="center"/>
            </w:pPr>
            <w:r>
              <w:rPr>
                <w:sz w:val="20"/>
              </w:rPr>
              <w:t xml:space="preserve">п/п</w:t>
            </w:r>
          </w:p>
        </w:tc>
        <w:tc>
          <w:tcPr>
            <w:tcW w:w="6973" w:type="dxa"/>
            <w:tcBorders>
              <w:top w:val="single" w:sz="4"/>
              <w:bottom w:val="single" w:sz="4"/>
            </w:tcBorders>
          </w:tcPr>
          <w:p>
            <w:pPr>
              <w:pStyle w:val="0"/>
              <w:jc w:val="center"/>
            </w:pPr>
            <w:r>
              <w:rPr>
                <w:sz w:val="20"/>
              </w:rPr>
              <w:t xml:space="preserve">Наименование критерия оценки</w:t>
            </w:r>
          </w:p>
        </w:tc>
        <w:tc>
          <w:tcPr>
            <w:tcW w:w="1531" w:type="dxa"/>
            <w:tcBorders>
              <w:top w:val="single" w:sz="4"/>
              <w:bottom w:val="single" w:sz="4"/>
              <w:right w:val="nil"/>
            </w:tcBorders>
          </w:tcPr>
          <w:p>
            <w:pPr>
              <w:pStyle w:val="0"/>
              <w:jc w:val="center"/>
            </w:pPr>
            <w:r>
              <w:rPr>
                <w:sz w:val="20"/>
              </w:rPr>
              <w:t xml:space="preserve">Оценка в баллах</w:t>
            </w:r>
          </w:p>
        </w:tc>
      </w:tr>
      <w:tr>
        <w:tblPrEx>
          <w:tblBorders>
            <w:insideV w:val="single" w:sz="4"/>
            <w:insideH w:val="single" w:sz="4"/>
          </w:tblBorders>
        </w:tblPrEx>
        <w:tc>
          <w:tcPr>
            <w:tcW w:w="567" w:type="dxa"/>
            <w:tcBorders>
              <w:top w:val="single" w:sz="4"/>
              <w:left w:val="nil"/>
              <w:bottom w:val="single" w:sz="4"/>
            </w:tcBorders>
          </w:tcPr>
          <w:p>
            <w:pPr>
              <w:pStyle w:val="0"/>
              <w:jc w:val="center"/>
            </w:pPr>
            <w:r>
              <w:rPr>
                <w:sz w:val="20"/>
              </w:rPr>
              <w:t xml:space="preserve">1</w:t>
            </w:r>
          </w:p>
        </w:tc>
        <w:tc>
          <w:tcPr>
            <w:tcW w:w="6973" w:type="dxa"/>
            <w:tcBorders>
              <w:top w:val="single" w:sz="4"/>
              <w:bottom w:val="single" w:sz="4"/>
            </w:tcBorders>
          </w:tcPr>
          <w:p>
            <w:pPr>
              <w:pStyle w:val="0"/>
              <w:jc w:val="center"/>
            </w:pPr>
            <w:r>
              <w:rPr>
                <w:sz w:val="20"/>
              </w:rPr>
              <w:t xml:space="preserve">2</w:t>
            </w:r>
          </w:p>
        </w:tc>
        <w:tc>
          <w:tcPr>
            <w:tcW w:w="1531" w:type="dxa"/>
            <w:tcBorders>
              <w:top w:val="single" w:sz="4"/>
              <w:bottom w:val="single" w:sz="4"/>
              <w:right w:val="nil"/>
            </w:tcBorders>
          </w:tcPr>
          <w:p>
            <w:pPr>
              <w:pStyle w:val="0"/>
              <w:jc w:val="center"/>
            </w:pPr>
            <w:r>
              <w:rPr>
                <w:sz w:val="20"/>
              </w:rPr>
              <w:t xml:space="preserve">3</w:t>
            </w:r>
          </w:p>
        </w:tc>
      </w:tr>
      <w:tr>
        <w:tblPrEx>
          <w:tblBorders>
            <w:insideH w:val="single" w:sz="4"/>
          </w:tblBorders>
        </w:tblPrEx>
        <w:tc>
          <w:tcPr>
            <w:tcW w:w="567" w:type="dxa"/>
            <w:tcBorders>
              <w:top w:val="single" w:sz="4"/>
              <w:left w:val="nil"/>
              <w:bottom w:val="nil"/>
              <w:right w:val="nil"/>
            </w:tcBorders>
            <w:vMerge w:val="restart"/>
          </w:tcPr>
          <w:p>
            <w:pPr>
              <w:pStyle w:val="0"/>
              <w:jc w:val="center"/>
            </w:pPr>
            <w:r>
              <w:rPr>
                <w:sz w:val="20"/>
              </w:rPr>
              <w:t xml:space="preserve">1.</w:t>
            </w:r>
          </w:p>
        </w:tc>
        <w:tc>
          <w:tcPr>
            <w:tcW w:w="6973" w:type="dxa"/>
            <w:tcBorders>
              <w:top w:val="single" w:sz="4"/>
              <w:left w:val="nil"/>
              <w:bottom w:val="nil"/>
              <w:right w:val="nil"/>
            </w:tcBorders>
          </w:tcPr>
          <w:p>
            <w:pPr>
              <w:pStyle w:val="0"/>
            </w:pPr>
            <w:r>
              <w:rPr>
                <w:sz w:val="20"/>
              </w:rPr>
              <w:t xml:space="preserve">Количество реализованных участником отбора мероприятий в рамках видов деятельности, указанных в </w:t>
            </w:r>
            <w:hyperlink w:history="0" w:anchor="P74" w:tooltip="4) СО НКО осуществляет на территории Волгоградской области в соответствии с уставом в том числе один или несколько из следующих видов деятельности:">
              <w:r>
                <w:rPr>
                  <w:sz w:val="20"/>
                  <w:color w:val="0000ff"/>
                </w:rPr>
                <w:t xml:space="preserve">подпункте 4 пункта 2.2</w:t>
              </w:r>
            </w:hyperlink>
            <w:r>
              <w:rPr>
                <w:sz w:val="20"/>
              </w:rPr>
              <w:t xml:space="preserve">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утвержденного постановлением Администрации Волгоградской области (далее соответственно именуются - Порядок, мероприятия), за год, предшествующий дате подачи заявки:</w:t>
            </w:r>
          </w:p>
        </w:tc>
        <w:tc>
          <w:tcPr>
            <w:tcW w:w="1531" w:type="dxa"/>
            <w:tcBorders>
              <w:top w:val="single" w:sz="4"/>
              <w:left w:val="nil"/>
              <w:bottom w:val="nil"/>
              <w:right w:val="nil"/>
            </w:tcBorders>
          </w:tcPr>
          <w:p>
            <w:pPr>
              <w:pStyle w:val="0"/>
            </w:pPr>
            <w:r>
              <w:rPr>
                <w:sz w:val="20"/>
              </w:rPr>
            </w:r>
          </w:p>
        </w:tc>
      </w:tr>
      <w:tr>
        <w:tc>
          <w:tcPr>
            <w:tcBorders>
              <w:top w:val="single" w:sz="4"/>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 1 до 3 мероприятий</w:t>
            </w:r>
          </w:p>
        </w:tc>
        <w:tc>
          <w:tcPr>
            <w:tcW w:w="1531" w:type="dxa"/>
            <w:tcBorders>
              <w:top w:val="nil"/>
              <w:left w:val="nil"/>
              <w:bottom w:val="nil"/>
              <w:right w:val="nil"/>
            </w:tcBorders>
          </w:tcPr>
          <w:p>
            <w:pPr>
              <w:pStyle w:val="0"/>
            </w:pPr>
            <w:r>
              <w:rPr>
                <w:sz w:val="20"/>
              </w:rPr>
              <w:t xml:space="preserve">3 балла</w:t>
            </w:r>
          </w:p>
        </w:tc>
      </w:tr>
      <w:tr>
        <w:tc>
          <w:tcPr>
            <w:tcBorders>
              <w:top w:val="single" w:sz="4"/>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 4 до 6 мероприятий (программ)</w:t>
            </w:r>
          </w:p>
        </w:tc>
        <w:tc>
          <w:tcPr>
            <w:tcW w:w="1531" w:type="dxa"/>
            <w:tcBorders>
              <w:top w:val="nil"/>
              <w:left w:val="nil"/>
              <w:bottom w:val="nil"/>
              <w:right w:val="nil"/>
            </w:tcBorders>
          </w:tcPr>
          <w:p>
            <w:pPr>
              <w:pStyle w:val="0"/>
            </w:pPr>
            <w:r>
              <w:rPr>
                <w:sz w:val="20"/>
              </w:rPr>
              <w:t xml:space="preserve">6 баллов</w:t>
            </w:r>
          </w:p>
        </w:tc>
      </w:tr>
      <w:tr>
        <w:tc>
          <w:tcPr>
            <w:tcBorders>
              <w:top w:val="single" w:sz="4"/>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7 и более мероприятий</w:t>
            </w:r>
          </w:p>
        </w:tc>
        <w:tc>
          <w:tcPr>
            <w:tcW w:w="1531" w:type="dxa"/>
            <w:tcBorders>
              <w:top w:val="nil"/>
              <w:left w:val="nil"/>
              <w:bottom w:val="nil"/>
              <w:right w:val="nil"/>
            </w:tcBorders>
          </w:tcPr>
          <w:p>
            <w:pPr>
              <w:pStyle w:val="0"/>
            </w:pPr>
            <w:r>
              <w:rPr>
                <w:sz w:val="20"/>
              </w:rPr>
              <w:t xml:space="preserve">10 баллов</w:t>
            </w:r>
          </w:p>
        </w:tc>
      </w:tr>
      <w:tr>
        <w:tc>
          <w:tcPr>
            <w:gridSpan w:val="3"/>
            <w:tcW w:w="9071" w:type="dxa"/>
            <w:tcBorders>
              <w:top w:val="nil"/>
              <w:left w:val="nil"/>
              <w:bottom w:val="nil"/>
              <w:right w:val="nil"/>
            </w:tcBorders>
          </w:tcPr>
          <w:p>
            <w:pPr>
              <w:pStyle w:val="0"/>
              <w:jc w:val="both"/>
            </w:pPr>
            <w:r>
              <w:rPr>
                <w:sz w:val="20"/>
              </w:rPr>
              <w:t xml:space="preserve">(в ред. </w:t>
            </w:r>
            <w:hyperlink w:history="0" r:id="rId23"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rPr>
              <w:t xml:space="preserve"> Администрации Волгоградской обл. от 25.11.2024 N 686-п)</w:t>
            </w:r>
          </w:p>
        </w:tc>
      </w:tr>
      <w:tr>
        <w:tc>
          <w:tcPr>
            <w:tcW w:w="567" w:type="dxa"/>
            <w:tcBorders>
              <w:top w:val="nil"/>
              <w:left w:val="nil"/>
              <w:bottom w:val="nil"/>
              <w:right w:val="nil"/>
            </w:tcBorders>
            <w:vMerge w:val="restart"/>
          </w:tcPr>
          <w:p>
            <w:pPr>
              <w:pStyle w:val="0"/>
              <w:jc w:val="center"/>
            </w:pPr>
            <w:r>
              <w:rPr>
                <w:sz w:val="20"/>
              </w:rPr>
              <w:t xml:space="preserve">2.</w:t>
            </w:r>
          </w:p>
        </w:tc>
        <w:tc>
          <w:tcPr>
            <w:tcW w:w="6973" w:type="dxa"/>
            <w:tcBorders>
              <w:top w:val="nil"/>
              <w:left w:val="nil"/>
              <w:bottom w:val="nil"/>
              <w:right w:val="nil"/>
            </w:tcBorders>
          </w:tcPr>
          <w:p>
            <w:pPr>
              <w:pStyle w:val="0"/>
            </w:pPr>
            <w:r>
              <w:rPr>
                <w:sz w:val="20"/>
              </w:rPr>
              <w:t xml:space="preserve">Количество сотрудников СО НКО и (или) привлеченных добровольцев, участвовавших в реализации мероприятий:</w:t>
            </w:r>
          </w:p>
        </w:tc>
        <w:tc>
          <w:tcPr>
            <w:tcW w:w="153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отсутствуют</w:t>
            </w:r>
          </w:p>
        </w:tc>
        <w:tc>
          <w:tcPr>
            <w:tcW w:w="1531" w:type="dxa"/>
            <w:tcBorders>
              <w:top w:val="nil"/>
              <w:left w:val="nil"/>
              <w:bottom w:val="nil"/>
              <w:right w:val="nil"/>
            </w:tcBorders>
          </w:tcPr>
          <w:p>
            <w:pPr>
              <w:pStyle w:val="0"/>
            </w:pPr>
            <w:r>
              <w:rPr>
                <w:sz w:val="20"/>
              </w:rPr>
              <w:t xml:space="preserve">0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 1 сотрудника до 3 сотрудников (добровольцев)</w:t>
            </w:r>
          </w:p>
        </w:tc>
        <w:tc>
          <w:tcPr>
            <w:tcW w:w="1531" w:type="dxa"/>
            <w:tcBorders>
              <w:top w:val="nil"/>
              <w:left w:val="nil"/>
              <w:bottom w:val="nil"/>
              <w:right w:val="nil"/>
            </w:tcBorders>
          </w:tcPr>
          <w:p>
            <w:pPr>
              <w:pStyle w:val="0"/>
            </w:pPr>
            <w:r>
              <w:rPr>
                <w:sz w:val="20"/>
              </w:rPr>
              <w:t xml:space="preserve">3 балла</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 4 до 6 сотрудников (добровольцев)</w:t>
            </w:r>
          </w:p>
        </w:tc>
        <w:tc>
          <w:tcPr>
            <w:tcW w:w="1531" w:type="dxa"/>
            <w:tcBorders>
              <w:top w:val="nil"/>
              <w:left w:val="nil"/>
              <w:bottom w:val="nil"/>
              <w:right w:val="nil"/>
            </w:tcBorders>
          </w:tcPr>
          <w:p>
            <w:pPr>
              <w:pStyle w:val="0"/>
            </w:pPr>
            <w:r>
              <w:rPr>
                <w:sz w:val="20"/>
              </w:rPr>
              <w:t xml:space="preserve">6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7 и более сотрудников (добровольцев)</w:t>
            </w:r>
          </w:p>
        </w:tc>
        <w:tc>
          <w:tcPr>
            <w:tcW w:w="1531" w:type="dxa"/>
            <w:tcBorders>
              <w:top w:val="nil"/>
              <w:left w:val="nil"/>
              <w:bottom w:val="nil"/>
              <w:right w:val="nil"/>
            </w:tcBorders>
          </w:tcPr>
          <w:p>
            <w:pPr>
              <w:pStyle w:val="0"/>
            </w:pPr>
            <w:r>
              <w:rPr>
                <w:sz w:val="20"/>
              </w:rPr>
              <w:t xml:space="preserve">10 баллов</w:t>
            </w:r>
          </w:p>
        </w:tc>
      </w:tr>
      <w:tr>
        <w:tc>
          <w:tcPr>
            <w:tcW w:w="567" w:type="dxa"/>
            <w:tcBorders>
              <w:top w:val="nil"/>
              <w:left w:val="nil"/>
              <w:bottom w:val="nil"/>
              <w:right w:val="nil"/>
            </w:tcBorders>
            <w:vMerge w:val="restart"/>
          </w:tcPr>
          <w:p>
            <w:pPr>
              <w:pStyle w:val="0"/>
              <w:jc w:val="center"/>
            </w:pPr>
            <w:r>
              <w:rPr>
                <w:sz w:val="20"/>
              </w:rPr>
              <w:t xml:space="preserve">3.</w:t>
            </w:r>
          </w:p>
        </w:tc>
        <w:tc>
          <w:tcPr>
            <w:tcW w:w="6973" w:type="dxa"/>
            <w:tcBorders>
              <w:top w:val="nil"/>
              <w:left w:val="nil"/>
              <w:bottom w:val="nil"/>
              <w:right w:val="nil"/>
            </w:tcBorders>
          </w:tcPr>
          <w:p>
            <w:pPr>
              <w:pStyle w:val="0"/>
            </w:pPr>
            <w:r>
              <w:rPr>
                <w:sz w:val="20"/>
              </w:rPr>
              <w:t xml:space="preserve">Количество благополучателей, охваченных при осуществлении видов деятельности, указанных в </w:t>
            </w:r>
            <w:hyperlink w:history="0" w:anchor="P74" w:tooltip="4) СО НКО осуществляет на территории Волгоградской области в соответствии с уставом в том числе один или несколько из следующих видов деятельности:">
              <w:r>
                <w:rPr>
                  <w:sz w:val="20"/>
                  <w:color w:val="0000ff"/>
                </w:rPr>
                <w:t xml:space="preserve">подпункте 4 пункта 2.2</w:t>
              </w:r>
            </w:hyperlink>
            <w:r>
              <w:rPr>
                <w:sz w:val="20"/>
              </w:rPr>
              <w:t xml:space="preserve"> Порядка, за год, предшествующий дате подачи заявки:</w:t>
            </w:r>
          </w:p>
        </w:tc>
        <w:tc>
          <w:tcPr>
            <w:tcW w:w="153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отсутствуют</w:t>
            </w:r>
          </w:p>
        </w:tc>
        <w:tc>
          <w:tcPr>
            <w:tcW w:w="1531" w:type="dxa"/>
            <w:tcBorders>
              <w:top w:val="nil"/>
              <w:left w:val="nil"/>
              <w:bottom w:val="nil"/>
              <w:right w:val="nil"/>
            </w:tcBorders>
          </w:tcPr>
          <w:p>
            <w:pPr>
              <w:pStyle w:val="0"/>
            </w:pPr>
            <w:r>
              <w:rPr>
                <w:sz w:val="20"/>
              </w:rPr>
              <w:t xml:space="preserve">0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 1 до 50 благополучателей</w:t>
            </w:r>
          </w:p>
        </w:tc>
        <w:tc>
          <w:tcPr>
            <w:tcW w:w="1531" w:type="dxa"/>
            <w:tcBorders>
              <w:top w:val="nil"/>
              <w:left w:val="nil"/>
              <w:bottom w:val="nil"/>
              <w:right w:val="nil"/>
            </w:tcBorders>
          </w:tcPr>
          <w:p>
            <w:pPr>
              <w:pStyle w:val="0"/>
            </w:pPr>
            <w:r>
              <w:rPr>
                <w:sz w:val="20"/>
              </w:rPr>
              <w:t xml:space="preserve">5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от 51 до 100 благополучателей</w:t>
            </w:r>
          </w:p>
        </w:tc>
        <w:tc>
          <w:tcPr>
            <w:tcW w:w="1531" w:type="dxa"/>
            <w:tcBorders>
              <w:top w:val="nil"/>
              <w:left w:val="nil"/>
              <w:bottom w:val="nil"/>
              <w:right w:val="nil"/>
            </w:tcBorders>
          </w:tcPr>
          <w:p>
            <w:pPr>
              <w:pStyle w:val="0"/>
            </w:pPr>
            <w:r>
              <w:rPr>
                <w:sz w:val="20"/>
              </w:rPr>
              <w:t xml:space="preserve">8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left="283"/>
            </w:pPr>
            <w:r>
              <w:rPr>
                <w:sz w:val="20"/>
              </w:rPr>
              <w:t xml:space="preserve">100 и более благополучателей</w:t>
            </w:r>
          </w:p>
        </w:tc>
        <w:tc>
          <w:tcPr>
            <w:tcW w:w="1531" w:type="dxa"/>
            <w:tcBorders>
              <w:top w:val="nil"/>
              <w:left w:val="nil"/>
              <w:bottom w:val="nil"/>
              <w:right w:val="nil"/>
            </w:tcBorders>
          </w:tcPr>
          <w:p>
            <w:pPr>
              <w:pStyle w:val="0"/>
            </w:pPr>
            <w:r>
              <w:rPr>
                <w:sz w:val="20"/>
              </w:rPr>
              <w:t xml:space="preserve">10 баллов</w:t>
            </w:r>
          </w:p>
        </w:tc>
      </w:tr>
      <w:tr>
        <w:tc>
          <w:tcPr>
            <w:gridSpan w:val="3"/>
            <w:tcW w:w="9071" w:type="dxa"/>
            <w:tcBorders>
              <w:top w:val="nil"/>
              <w:left w:val="nil"/>
              <w:bottom w:val="nil"/>
              <w:right w:val="nil"/>
            </w:tcBorders>
          </w:tcPr>
          <w:p>
            <w:pPr>
              <w:pStyle w:val="0"/>
              <w:jc w:val="both"/>
            </w:pPr>
            <w:r>
              <w:rPr>
                <w:sz w:val="20"/>
              </w:rPr>
              <w:t xml:space="preserve">(в ред. </w:t>
            </w:r>
            <w:hyperlink w:history="0" r:id="rId24" w:tooltip="Постановление Администрации Волгоградской обл. от 25.11.2024 N 686-п &quot;О внесении изменений в постановление Администрации Волгоградской области от 23 сентября 2024 г. N 566-п &quot;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 {КонсультантПлюс}">
              <w:r>
                <w:rPr>
                  <w:sz w:val="20"/>
                  <w:color w:val="0000ff"/>
                </w:rPr>
                <w:t xml:space="preserve">постановления</w:t>
              </w:r>
            </w:hyperlink>
            <w:r>
              <w:rPr>
                <w:sz w:val="20"/>
              </w:rPr>
              <w:t xml:space="preserve"> Администрации Волгоградской обл. от 25.11.2024 N 686-п)</w:t>
            </w:r>
          </w:p>
        </w:tc>
      </w:tr>
      <w:tr>
        <w:tc>
          <w:tcPr>
            <w:tcW w:w="567" w:type="dxa"/>
            <w:tcBorders>
              <w:top w:val="nil"/>
              <w:left w:val="nil"/>
              <w:bottom w:val="nil"/>
              <w:right w:val="nil"/>
            </w:tcBorders>
            <w:vMerge w:val="restart"/>
          </w:tcPr>
          <w:p>
            <w:pPr>
              <w:pStyle w:val="0"/>
              <w:jc w:val="center"/>
            </w:pPr>
            <w:r>
              <w:rPr>
                <w:sz w:val="20"/>
              </w:rPr>
              <w:t xml:space="preserve">4.</w:t>
            </w:r>
          </w:p>
        </w:tc>
        <w:tc>
          <w:tcPr>
            <w:tcW w:w="6973" w:type="dxa"/>
            <w:tcBorders>
              <w:top w:val="nil"/>
              <w:left w:val="nil"/>
              <w:bottom w:val="nil"/>
              <w:right w:val="nil"/>
            </w:tcBorders>
          </w:tcPr>
          <w:p>
            <w:pPr>
              <w:pStyle w:val="0"/>
            </w:pPr>
            <w:r>
              <w:rPr>
                <w:sz w:val="20"/>
              </w:rPr>
              <w:t xml:space="preserve">Количество опубликованных в средствах массовой информации (пресса, телевидение, радио, информационно-телекоммуникационная сеть Интернет) за год, предшествующий дате подачи заявки, информационных материалов о реализованных участником отбора мероприятиях:</w:t>
            </w:r>
          </w:p>
        </w:tc>
        <w:tc>
          <w:tcPr>
            <w:tcW w:w="153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отсутствуют</w:t>
            </w:r>
          </w:p>
        </w:tc>
        <w:tc>
          <w:tcPr>
            <w:tcW w:w="1531" w:type="dxa"/>
            <w:tcBorders>
              <w:top w:val="nil"/>
              <w:left w:val="nil"/>
              <w:bottom w:val="nil"/>
              <w:right w:val="nil"/>
            </w:tcBorders>
          </w:tcPr>
          <w:p>
            <w:pPr>
              <w:pStyle w:val="0"/>
            </w:pPr>
            <w:r>
              <w:rPr>
                <w:sz w:val="20"/>
              </w:rPr>
              <w:t xml:space="preserve">0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 1 до 3 материалов</w:t>
            </w:r>
          </w:p>
        </w:tc>
        <w:tc>
          <w:tcPr>
            <w:tcW w:w="1531" w:type="dxa"/>
            <w:tcBorders>
              <w:top w:val="nil"/>
              <w:left w:val="nil"/>
              <w:bottom w:val="nil"/>
              <w:right w:val="nil"/>
            </w:tcBorders>
          </w:tcPr>
          <w:p>
            <w:pPr>
              <w:pStyle w:val="0"/>
            </w:pPr>
            <w:r>
              <w:rPr>
                <w:sz w:val="20"/>
              </w:rPr>
              <w:t xml:space="preserve">3 балла</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 4 до 6 материалов</w:t>
            </w:r>
          </w:p>
        </w:tc>
        <w:tc>
          <w:tcPr>
            <w:tcW w:w="1531" w:type="dxa"/>
            <w:tcBorders>
              <w:top w:val="nil"/>
              <w:left w:val="nil"/>
              <w:bottom w:val="nil"/>
              <w:right w:val="nil"/>
            </w:tcBorders>
          </w:tcPr>
          <w:p>
            <w:pPr>
              <w:pStyle w:val="0"/>
            </w:pPr>
            <w:r>
              <w:rPr>
                <w:sz w:val="20"/>
              </w:rPr>
              <w:t xml:space="preserve">5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от 7 до 9 материалов</w:t>
            </w:r>
          </w:p>
        </w:tc>
        <w:tc>
          <w:tcPr>
            <w:tcW w:w="1531" w:type="dxa"/>
            <w:tcBorders>
              <w:top w:val="nil"/>
              <w:left w:val="nil"/>
              <w:bottom w:val="nil"/>
              <w:right w:val="nil"/>
            </w:tcBorders>
          </w:tcPr>
          <w:p>
            <w:pPr>
              <w:pStyle w:val="0"/>
            </w:pPr>
            <w:r>
              <w:rPr>
                <w:sz w:val="20"/>
              </w:rPr>
              <w:t xml:space="preserve">8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10 и более материалов</w:t>
            </w:r>
          </w:p>
        </w:tc>
        <w:tc>
          <w:tcPr>
            <w:tcW w:w="1531" w:type="dxa"/>
            <w:tcBorders>
              <w:top w:val="nil"/>
              <w:left w:val="nil"/>
              <w:bottom w:val="nil"/>
              <w:right w:val="nil"/>
            </w:tcBorders>
          </w:tcPr>
          <w:p>
            <w:pPr>
              <w:pStyle w:val="0"/>
            </w:pPr>
            <w:r>
              <w:rPr>
                <w:sz w:val="20"/>
              </w:rPr>
              <w:t xml:space="preserve">10 баллов</w:t>
            </w:r>
          </w:p>
        </w:tc>
      </w:tr>
      <w:tr>
        <w:tc>
          <w:tcPr>
            <w:tcW w:w="567" w:type="dxa"/>
            <w:tcBorders>
              <w:top w:val="nil"/>
              <w:left w:val="nil"/>
              <w:bottom w:val="nil"/>
              <w:right w:val="nil"/>
            </w:tcBorders>
            <w:vMerge w:val="restart"/>
          </w:tcPr>
          <w:p>
            <w:pPr>
              <w:pStyle w:val="0"/>
              <w:jc w:val="center"/>
            </w:pPr>
            <w:r>
              <w:rPr>
                <w:sz w:val="20"/>
              </w:rPr>
              <w:t xml:space="preserve">5.</w:t>
            </w:r>
          </w:p>
        </w:tc>
        <w:tc>
          <w:tcPr>
            <w:tcW w:w="6973" w:type="dxa"/>
            <w:tcBorders>
              <w:top w:val="nil"/>
              <w:left w:val="nil"/>
              <w:bottom w:val="nil"/>
              <w:right w:val="nil"/>
            </w:tcBorders>
          </w:tcPr>
          <w:p>
            <w:pPr>
              <w:pStyle w:val="0"/>
            </w:pPr>
            <w:r>
              <w:rPr>
                <w:sz w:val="20"/>
              </w:rPr>
              <w:t xml:space="preserve">Участник отбора включен в реестр некоммерческих организаций - исполнителей общественно полезных услуг или в реестр поставщиков социальных услуг Волгоградской области:</w:t>
            </w:r>
          </w:p>
        </w:tc>
        <w:tc>
          <w:tcPr>
            <w:tcW w:w="153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не включен в реестр</w:t>
            </w:r>
          </w:p>
        </w:tc>
        <w:tc>
          <w:tcPr>
            <w:tcW w:w="1531" w:type="dxa"/>
            <w:tcBorders>
              <w:top w:val="nil"/>
              <w:left w:val="nil"/>
              <w:bottom w:val="nil"/>
              <w:right w:val="nil"/>
            </w:tcBorders>
          </w:tcPr>
          <w:p>
            <w:pPr>
              <w:pStyle w:val="0"/>
            </w:pPr>
            <w:r>
              <w:rPr>
                <w:sz w:val="20"/>
              </w:rPr>
              <w:t xml:space="preserve">0 баллов</w:t>
            </w:r>
          </w:p>
        </w:tc>
      </w:tr>
      <w:tr>
        <w:tc>
          <w:tcPr>
            <w:tcBorders>
              <w:top w:val="nil"/>
              <w:left w:val="nil"/>
              <w:bottom w:val="nil"/>
              <w:right w:val="nil"/>
            </w:tcBorders>
            <w:vMerge w:val="continue"/>
          </w:tcPr>
          <w:p/>
        </w:tc>
        <w:tc>
          <w:tcPr>
            <w:tcW w:w="6973" w:type="dxa"/>
            <w:tcBorders>
              <w:top w:val="nil"/>
              <w:left w:val="nil"/>
              <w:bottom w:val="nil"/>
              <w:right w:val="nil"/>
            </w:tcBorders>
          </w:tcPr>
          <w:p>
            <w:pPr>
              <w:pStyle w:val="0"/>
              <w:ind w:firstLine="283"/>
            </w:pPr>
            <w:r>
              <w:rPr>
                <w:sz w:val="20"/>
              </w:rPr>
              <w:t xml:space="preserve">включен в реестр</w:t>
            </w:r>
          </w:p>
        </w:tc>
        <w:tc>
          <w:tcPr>
            <w:tcW w:w="1531" w:type="dxa"/>
            <w:tcBorders>
              <w:top w:val="nil"/>
              <w:left w:val="nil"/>
              <w:bottom w:val="nil"/>
              <w:right w:val="nil"/>
            </w:tcBorders>
          </w:tcPr>
          <w:p>
            <w:pPr>
              <w:pStyle w:val="0"/>
            </w:pPr>
            <w:r>
              <w:rPr>
                <w:sz w:val="20"/>
              </w:rPr>
              <w:t xml:space="preserve">10 баллов</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Волгоградской обл. от 23.09.2024 N 566-п</w:t>
            <w:br/>
            <w:t>(ред. от 25.11.2024)</w:t>
            <w:br/>
            <w:t>"Об утверждении Порядка провед...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0&amp;n=286682&amp;dst=100005" TargetMode = "External"/>
	<Relationship Id="rId8" Type="http://schemas.openxmlformats.org/officeDocument/2006/relationships/hyperlink" Target="https://login.consultant.ru/link/?req=doc&amp;base=LAW&amp;n=463268&amp;dst=100007" TargetMode = "External"/>
	<Relationship Id="rId9" Type="http://schemas.openxmlformats.org/officeDocument/2006/relationships/hyperlink" Target="https://login.consultant.ru/link/?req=doc&amp;base=RLAW180&amp;n=286682&amp;dst=100006" TargetMode = "External"/>
	<Relationship Id="rId10" Type="http://schemas.openxmlformats.org/officeDocument/2006/relationships/hyperlink" Target="https://login.consultant.ru/link/?req=doc&amp;base=LAW&amp;n=487023" TargetMode = "External"/>
	<Relationship Id="rId11" Type="http://schemas.openxmlformats.org/officeDocument/2006/relationships/hyperlink" Target="https://login.consultant.ru/link/?req=doc&amp;base=LAW&amp;n=422007" TargetMode = "External"/>
	<Relationship Id="rId12" Type="http://schemas.openxmlformats.org/officeDocument/2006/relationships/hyperlink" Target="https://login.consultant.ru/link/?req=doc&amp;base=LAW&amp;n=483355" TargetMode = "External"/>
	<Relationship Id="rId13" Type="http://schemas.openxmlformats.org/officeDocument/2006/relationships/hyperlink" Target="https://login.consultant.ru/link/?req=doc&amp;base=LAW&amp;n=467527" TargetMode = "External"/>
	<Relationship Id="rId14" Type="http://schemas.openxmlformats.org/officeDocument/2006/relationships/hyperlink" Target="https://login.consultant.ru/link/?req=doc&amp;base=RLAW180&amp;n=286682&amp;dst=100006" TargetMode = "External"/>
	<Relationship Id="rId15" Type="http://schemas.openxmlformats.org/officeDocument/2006/relationships/hyperlink" Target="https://login.consultant.ru/link/?req=doc&amp;base=LAW&amp;n=463268&amp;dst=100047" TargetMode = "External"/>
	<Relationship Id="rId16" Type="http://schemas.openxmlformats.org/officeDocument/2006/relationships/hyperlink" Target="https://niktokromenas.volgograd.ru" TargetMode = "External"/>
	<Relationship Id="rId17" Type="http://schemas.openxmlformats.org/officeDocument/2006/relationships/hyperlink" Target="https://uprt.volgograd.ru" TargetMode = "External"/>
	<Relationship Id="rId18" Type="http://schemas.openxmlformats.org/officeDocument/2006/relationships/hyperlink" Target="https://login.consultant.ru/link/?req=doc&amp;base=LAW&amp;n=121087&amp;dst=100142" TargetMode = "External"/>
	<Relationship Id="rId19" Type="http://schemas.openxmlformats.org/officeDocument/2006/relationships/hyperlink" Target="https://login.consultant.ru/link/?req=doc&amp;base=LAW&amp;n=480520&amp;dst=1659" TargetMode = "External"/>
	<Relationship Id="rId20" Type="http://schemas.openxmlformats.org/officeDocument/2006/relationships/hyperlink" Target="https://login.consultant.ru/link/?req=doc&amp;base=LAW&amp;n=480520&amp;dst=3601" TargetMode = "External"/>
	<Relationship Id="rId21" Type="http://schemas.openxmlformats.org/officeDocument/2006/relationships/hyperlink" Target="https://login.consultant.ru/link/?req=doc&amp;base=LAW&amp;n=480520&amp;dst=10633" TargetMode = "External"/>
	<Relationship Id="rId22" Type="http://schemas.openxmlformats.org/officeDocument/2006/relationships/hyperlink" Target="https://login.consultant.ru/link/?req=doc&amp;base=RLAW180&amp;n=286682&amp;dst=100007" TargetMode = "External"/>
	<Relationship Id="rId23" Type="http://schemas.openxmlformats.org/officeDocument/2006/relationships/hyperlink" Target="https://login.consultant.ru/link/?req=doc&amp;base=RLAW180&amp;n=286682&amp;dst=100007" TargetMode = "External"/>
	<Relationship Id="rId24" Type="http://schemas.openxmlformats.org/officeDocument/2006/relationships/hyperlink" Target="https://login.consultant.ru/link/?req=doc&amp;base=RLAW180&amp;n=286682&amp;dst=100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Волгоградской обл. от 23.09.2024 N 566-п
(ред. от 25.11.2024)
"Об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dc:title>
  <dcterms:created xsi:type="dcterms:W3CDTF">2025-01-12T12:10:49Z</dcterms:created>
</cp:coreProperties>
</file>