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комитета по делам территориальных образований, внутренней и информационной политики Волгоградской обл. от 14.11.2024 N 22</w:t>
              <w:br/>
              <w:t xml:space="preserve">"Об утверждении методик расчета показателей комплекса процессных мероприятий государственной программы Волгоградской области "Развитие гражданского общества на территории Волгоградской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КОМИТЕТ ПО ДЕЛАМ ТЕРРИТОРИАЛЬНЫХ ОБРАЗОВАНИЙ,</w:t>
      </w:r>
    </w:p>
    <w:p>
      <w:pPr>
        <w:pStyle w:val="2"/>
        <w:jc w:val="center"/>
      </w:pPr>
      <w:r>
        <w:rPr>
          <w:sz w:val="20"/>
        </w:rPr>
        <w:t xml:space="preserve">ВНУТРЕННЕЙ И ИНФОРМАЦИОННОЙ ПОЛИТИКИ</w:t>
      </w:r>
    </w:p>
    <w:p>
      <w:pPr>
        <w:pStyle w:val="2"/>
        <w:jc w:val="center"/>
      </w:pPr>
      <w:r>
        <w:rPr>
          <w:sz w:val="20"/>
        </w:rPr>
        <w:t xml:space="preserve">ВОЛГОГРАДСКОЙ ОБЛАСТИ</w:t>
      </w:r>
    </w:p>
    <w:p>
      <w:pPr>
        <w:pStyle w:val="2"/>
        <w:jc w:val="both"/>
      </w:pPr>
      <w:r>
        <w:rPr>
          <w:sz w:val="20"/>
        </w:rPr>
      </w:r>
    </w:p>
    <w:p>
      <w:pPr>
        <w:pStyle w:val="2"/>
        <w:jc w:val="center"/>
      </w:pPr>
      <w:r>
        <w:rPr>
          <w:sz w:val="20"/>
        </w:rPr>
        <w:t xml:space="preserve">ПРИКАЗ</w:t>
      </w:r>
    </w:p>
    <w:p>
      <w:pPr>
        <w:pStyle w:val="2"/>
        <w:jc w:val="center"/>
      </w:pPr>
      <w:r>
        <w:rPr>
          <w:sz w:val="20"/>
        </w:rPr>
        <w:t xml:space="preserve">от 14 ноября 2024 г. N 22</w:t>
      </w:r>
    </w:p>
    <w:p>
      <w:pPr>
        <w:pStyle w:val="2"/>
        <w:jc w:val="both"/>
      </w:pPr>
      <w:r>
        <w:rPr>
          <w:sz w:val="20"/>
        </w:rPr>
      </w:r>
    </w:p>
    <w:p>
      <w:pPr>
        <w:pStyle w:val="2"/>
        <w:jc w:val="center"/>
      </w:pPr>
      <w:r>
        <w:rPr>
          <w:sz w:val="20"/>
        </w:rPr>
        <w:t xml:space="preserve">ОБ УТВЕРЖДЕНИИ МЕТОДИК РАСЧЕТА ПОКАЗАТЕЛЕЙ КОМПЛЕКСА</w:t>
      </w:r>
    </w:p>
    <w:p>
      <w:pPr>
        <w:pStyle w:val="2"/>
        <w:jc w:val="center"/>
      </w:pPr>
      <w:r>
        <w:rPr>
          <w:sz w:val="20"/>
        </w:rPr>
        <w:t xml:space="preserve">ПРОЦЕССНЫХ МЕРОПРИЯТИЙ ГОСУДАРСТВЕННОЙ ПРОГРАММЫ</w:t>
      </w:r>
    </w:p>
    <w:p>
      <w:pPr>
        <w:pStyle w:val="2"/>
        <w:jc w:val="center"/>
      </w:pPr>
      <w:r>
        <w:rPr>
          <w:sz w:val="20"/>
        </w:rPr>
        <w:t xml:space="preserve">ВОЛГОГРАДСКОЙ ОБЛАСТИ "РАЗВИТИЕ ГРАЖДАНСКОГО ОБЩЕСТВА</w:t>
      </w:r>
    </w:p>
    <w:p>
      <w:pPr>
        <w:pStyle w:val="2"/>
        <w:jc w:val="center"/>
      </w:pPr>
      <w:r>
        <w:rPr>
          <w:sz w:val="20"/>
        </w:rPr>
        <w:t xml:space="preserve">НА ТЕРРИТОРИИ ВОЛГОГРАДСКОЙ ОБЛАСТИ"</w:t>
      </w:r>
    </w:p>
    <w:p>
      <w:pPr>
        <w:pStyle w:val="0"/>
        <w:jc w:val="both"/>
      </w:pPr>
      <w:r>
        <w:rPr>
          <w:sz w:val="20"/>
        </w:rPr>
      </w:r>
    </w:p>
    <w:p>
      <w:pPr>
        <w:pStyle w:val="0"/>
        <w:ind w:firstLine="540"/>
        <w:jc w:val="both"/>
      </w:pPr>
      <w:r>
        <w:rPr>
          <w:sz w:val="20"/>
        </w:rPr>
        <w:t xml:space="preserve">В целях реализации государственной </w:t>
      </w:r>
      <w:hyperlink w:history="0" r:id="rId7" w:tooltip="Постановление Администрации Волгоградской обл. от 26.10.2017 N 561-п (ред. от 27.12.2023) &quot;Об утверждении государственной программы Волгоградской области &quot;Развитие гражданского общества на территории Волгоградской области&quot; {КонсультантПлюс}">
        <w:r>
          <w:rPr>
            <w:sz w:val="20"/>
            <w:color w:val="0000ff"/>
          </w:rPr>
          <w:t xml:space="preserve">программы</w:t>
        </w:r>
      </w:hyperlink>
      <w:r>
        <w:rPr>
          <w:sz w:val="20"/>
        </w:rPr>
        <w:t xml:space="preserve"> Волгоградской области "Развитие гражданского общества на территории Волгоградской области", утвержденной постановлением Администрации Волгоградской области от 26 октября 2017 г. N 561-п "Об утверждении государственной программы Волгоградской области "Развитие гражданского общества на территории Волгоградской области", приказываю:</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37" w:tooltip="МЕТОДИКА">
        <w:r>
          <w:rPr>
            <w:sz w:val="20"/>
            <w:color w:val="0000ff"/>
          </w:rPr>
          <w:t xml:space="preserve">методику</w:t>
        </w:r>
      </w:hyperlink>
      <w:r>
        <w:rPr>
          <w:sz w:val="20"/>
        </w:rPr>
        <w:t xml:space="preserve"> расчета показателей комплекса процессных мероприятий "Государственная поддержка социально ориентированных некоммерческих организаций, осуществляющих деятельность на территории Волгоградской области и развитие цифровых механизмов взаимодействия общества и власти" (приложение N 1);</w:t>
      </w:r>
    </w:p>
    <w:p>
      <w:pPr>
        <w:pStyle w:val="0"/>
        <w:spacing w:before="200" w:line-rule="auto"/>
        <w:ind w:firstLine="540"/>
        <w:jc w:val="both"/>
      </w:pPr>
      <w:hyperlink w:history="0" w:anchor="P113" w:tooltip="МЕТОДИКА">
        <w:r>
          <w:rPr>
            <w:sz w:val="20"/>
            <w:color w:val="0000ff"/>
          </w:rPr>
          <w:t xml:space="preserve">методику</w:t>
        </w:r>
      </w:hyperlink>
      <w:r>
        <w:rPr>
          <w:sz w:val="20"/>
        </w:rPr>
        <w:t xml:space="preserve"> расчета показателей комплекса процессных мероприятий "Реализация государственной информационной политики Волгоградской области" (приложение N 2);</w:t>
      </w:r>
    </w:p>
    <w:p>
      <w:pPr>
        <w:pStyle w:val="0"/>
        <w:spacing w:before="200" w:line-rule="auto"/>
        <w:ind w:firstLine="540"/>
        <w:jc w:val="both"/>
      </w:pPr>
      <w:hyperlink w:history="0" w:anchor="P158" w:tooltip="МЕТОДИКА">
        <w:r>
          <w:rPr>
            <w:sz w:val="20"/>
            <w:color w:val="0000ff"/>
          </w:rPr>
          <w:t xml:space="preserve">методику</w:t>
        </w:r>
      </w:hyperlink>
      <w:r>
        <w:rPr>
          <w:sz w:val="20"/>
        </w:rPr>
        <w:t xml:space="preserve"> расчета показателей комплекса процессных мероприятий "Развитие и совершенствование системы территориального общественного самоуправления Волгоградской области" (приложение N 3).</w:t>
      </w:r>
    </w:p>
    <w:p>
      <w:pPr>
        <w:pStyle w:val="0"/>
        <w:spacing w:before="200" w:line-rule="auto"/>
        <w:ind w:firstLine="540"/>
        <w:jc w:val="both"/>
      </w:pPr>
      <w:r>
        <w:rPr>
          <w:sz w:val="20"/>
        </w:rPr>
        <w:t xml:space="preserve">2. Контроль за исполнением настоящего приказа возложить на заместителя начальника управления общественных связей комитета по делам территориальных образований, внутренней и информационной политики Волгоградской области - начальника отдела по взаимодействию с некоммерческими организациями Калганова Дмитрия Владимировича; заместителя председателя комитета по делам территориальных образований, внутренней и информационной политики Волгоградской области - начальника управления информационной политики Завгороднюю Галину Васильевну.</w:t>
      </w:r>
    </w:p>
    <w:p>
      <w:pPr>
        <w:pStyle w:val="0"/>
        <w:spacing w:before="200" w:line-rule="auto"/>
        <w:ind w:firstLine="540"/>
        <w:jc w:val="both"/>
      </w:pPr>
      <w:r>
        <w:rPr>
          <w:sz w:val="20"/>
        </w:rPr>
        <w:t xml:space="preserve">4. Настоящий приказ вступает в силу со дня его подписания и подлежит официальному опубликованию.</w:t>
      </w:r>
    </w:p>
    <w:p>
      <w:pPr>
        <w:pStyle w:val="0"/>
        <w:jc w:val="both"/>
      </w:pPr>
      <w:r>
        <w:rPr>
          <w:sz w:val="20"/>
        </w:rPr>
      </w:r>
    </w:p>
    <w:p>
      <w:pPr>
        <w:pStyle w:val="0"/>
        <w:jc w:val="right"/>
      </w:pPr>
      <w:r>
        <w:rPr>
          <w:sz w:val="20"/>
        </w:rPr>
        <w:t xml:space="preserve">Председатель комитета</w:t>
      </w:r>
    </w:p>
    <w:p>
      <w:pPr>
        <w:pStyle w:val="0"/>
        <w:jc w:val="right"/>
      </w:pPr>
      <w:r>
        <w:rPr>
          <w:sz w:val="20"/>
        </w:rPr>
        <w:t xml:space="preserve">М.Н.БИТЮЦКИЙ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приказу</w:t>
      </w:r>
    </w:p>
    <w:p>
      <w:pPr>
        <w:pStyle w:val="0"/>
        <w:jc w:val="right"/>
      </w:pPr>
      <w:r>
        <w:rPr>
          <w:sz w:val="20"/>
        </w:rPr>
        <w:t xml:space="preserve">комитета</w:t>
      </w:r>
    </w:p>
    <w:p>
      <w:pPr>
        <w:pStyle w:val="0"/>
        <w:jc w:val="right"/>
      </w:pPr>
      <w:r>
        <w:rPr>
          <w:sz w:val="20"/>
        </w:rPr>
        <w:t xml:space="preserve">по делам территориальных</w:t>
      </w:r>
    </w:p>
    <w:p>
      <w:pPr>
        <w:pStyle w:val="0"/>
        <w:jc w:val="right"/>
      </w:pPr>
      <w:r>
        <w:rPr>
          <w:sz w:val="20"/>
        </w:rPr>
        <w:t xml:space="preserve">образований, внутренней</w:t>
      </w:r>
    </w:p>
    <w:p>
      <w:pPr>
        <w:pStyle w:val="0"/>
        <w:jc w:val="right"/>
      </w:pPr>
      <w:r>
        <w:rPr>
          <w:sz w:val="20"/>
        </w:rPr>
        <w:t xml:space="preserve">и информационной политики</w:t>
      </w:r>
    </w:p>
    <w:p>
      <w:pPr>
        <w:pStyle w:val="0"/>
        <w:jc w:val="right"/>
      </w:pPr>
      <w:r>
        <w:rPr>
          <w:sz w:val="20"/>
        </w:rPr>
        <w:t xml:space="preserve">Волгоградской области</w:t>
      </w:r>
    </w:p>
    <w:p>
      <w:pPr>
        <w:pStyle w:val="0"/>
        <w:jc w:val="right"/>
      </w:pPr>
      <w:r>
        <w:rPr>
          <w:sz w:val="20"/>
        </w:rPr>
        <w:t xml:space="preserve">от 14 ноября 2024 г. N 22</w:t>
      </w:r>
    </w:p>
    <w:p>
      <w:pPr>
        <w:pStyle w:val="0"/>
        <w:jc w:val="both"/>
      </w:pPr>
      <w:r>
        <w:rPr>
          <w:sz w:val="20"/>
        </w:rPr>
      </w:r>
    </w:p>
    <w:bookmarkStart w:id="37" w:name="P37"/>
    <w:bookmarkEnd w:id="37"/>
    <w:p>
      <w:pPr>
        <w:pStyle w:val="2"/>
        <w:jc w:val="center"/>
      </w:pPr>
      <w:r>
        <w:rPr>
          <w:sz w:val="20"/>
        </w:rPr>
        <w:t xml:space="preserve">МЕТОДИКА</w:t>
      </w:r>
    </w:p>
    <w:p>
      <w:pPr>
        <w:pStyle w:val="2"/>
        <w:jc w:val="center"/>
      </w:pPr>
      <w:r>
        <w:rPr>
          <w:sz w:val="20"/>
        </w:rPr>
        <w:t xml:space="preserve">РАСЧЕТА ПОКАЗАТЕЛЕЙ КОМПЛЕКСА ПРОЦЕССНЫХ МЕРОПРИЯТИЙ</w:t>
      </w:r>
    </w:p>
    <w:p>
      <w:pPr>
        <w:pStyle w:val="2"/>
        <w:jc w:val="center"/>
      </w:pPr>
      <w:r>
        <w:rPr>
          <w:sz w:val="20"/>
        </w:rPr>
        <w:t xml:space="preserve">"ГОСУДАРСТВЕННАЯ ПОДДЕРЖКА СОЦИАЛЬНО ОРИЕНТИРОВАННЫХ</w:t>
      </w:r>
    </w:p>
    <w:p>
      <w:pPr>
        <w:pStyle w:val="2"/>
        <w:jc w:val="center"/>
      </w:pPr>
      <w:r>
        <w:rPr>
          <w:sz w:val="20"/>
        </w:rPr>
        <w:t xml:space="preserve">НЕКОММЕРЧЕСКИХ ОРГАНИЗАЦИЙ, ОСУЩЕСТВЛЯЮЩИХ ДЕЯТЕЛЬНОСТЬ</w:t>
      </w:r>
    </w:p>
    <w:p>
      <w:pPr>
        <w:pStyle w:val="2"/>
        <w:jc w:val="center"/>
      </w:pPr>
      <w:r>
        <w:rPr>
          <w:sz w:val="20"/>
        </w:rPr>
        <w:t xml:space="preserve">НА ТЕРРИТОРИИ ВОЛГОГРАДСКОЙ ОБЛАСТИ И РАЗВИТИЕ ЦИФРОВЫХ</w:t>
      </w:r>
    </w:p>
    <w:p>
      <w:pPr>
        <w:pStyle w:val="2"/>
        <w:jc w:val="center"/>
      </w:pPr>
      <w:r>
        <w:rPr>
          <w:sz w:val="20"/>
        </w:rPr>
        <w:t xml:space="preserve">МЕХАНИЗМОВ ВЗАИМОДЕЙСТВИЯ ОБЩЕСТВА И ВЛАСТИ" ГОСУДАРСТВЕННОЙ</w:t>
      </w:r>
    </w:p>
    <w:p>
      <w:pPr>
        <w:pStyle w:val="2"/>
        <w:jc w:val="center"/>
      </w:pPr>
      <w:r>
        <w:rPr>
          <w:sz w:val="20"/>
        </w:rPr>
        <w:t xml:space="preserve">ПРОГРАММЫ ВОЛГОГРАДСКОЙ ОБЛАСТИ "РАЗВИТИЕ ГРАЖДАНСКОГО</w:t>
      </w:r>
    </w:p>
    <w:p>
      <w:pPr>
        <w:pStyle w:val="2"/>
        <w:jc w:val="center"/>
      </w:pPr>
      <w:r>
        <w:rPr>
          <w:sz w:val="20"/>
        </w:rPr>
        <w:t xml:space="preserve">ОБЩЕСТВА НА ТЕРРИТОРИИ ВОЛГОГРАДСКОЙ ОБЛАСТИ"</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1134"/>
        <w:gridCol w:w="1587"/>
        <w:gridCol w:w="2835"/>
        <w:gridCol w:w="2268"/>
        <w:gridCol w:w="2154"/>
      </w:tblGrid>
      <w:tr>
        <w:tc>
          <w:tcPr>
            <w:tcW w:w="2211" w:type="dxa"/>
          </w:tcPr>
          <w:p>
            <w:pPr>
              <w:pStyle w:val="0"/>
              <w:jc w:val="center"/>
            </w:pPr>
            <w:r>
              <w:rPr>
                <w:sz w:val="20"/>
              </w:rPr>
              <w:t xml:space="preserve">Наименование показателя</w:t>
            </w:r>
          </w:p>
        </w:tc>
        <w:tc>
          <w:tcPr>
            <w:tcW w:w="1134" w:type="dxa"/>
          </w:tcPr>
          <w:p>
            <w:pPr>
              <w:pStyle w:val="0"/>
              <w:jc w:val="center"/>
            </w:pPr>
            <w:r>
              <w:rPr>
                <w:sz w:val="20"/>
              </w:rPr>
              <w:t xml:space="preserve">Единица измерения</w:t>
            </w:r>
          </w:p>
        </w:tc>
        <w:tc>
          <w:tcPr>
            <w:tcW w:w="1587" w:type="dxa"/>
          </w:tcPr>
          <w:p>
            <w:pPr>
              <w:pStyle w:val="0"/>
              <w:jc w:val="center"/>
            </w:pPr>
            <w:r>
              <w:rPr>
                <w:sz w:val="20"/>
              </w:rPr>
              <w:t xml:space="preserve">Периодичность и сроки формирования фактического значения показателя</w:t>
            </w:r>
          </w:p>
        </w:tc>
        <w:tc>
          <w:tcPr>
            <w:tcW w:w="2835" w:type="dxa"/>
          </w:tcPr>
          <w:p>
            <w:pPr>
              <w:pStyle w:val="0"/>
              <w:jc w:val="center"/>
            </w:pPr>
            <w:r>
              <w:rPr>
                <w:sz w:val="20"/>
              </w:rPr>
              <w:t xml:space="preserve">Формула расчета целевого показателя</w:t>
            </w:r>
          </w:p>
        </w:tc>
        <w:tc>
          <w:tcPr>
            <w:tcW w:w="2268" w:type="dxa"/>
          </w:tcPr>
          <w:p>
            <w:pPr>
              <w:pStyle w:val="0"/>
              <w:jc w:val="center"/>
            </w:pPr>
            <w:r>
              <w:rPr>
                <w:sz w:val="20"/>
              </w:rPr>
              <w:t xml:space="preserve">Источник информации</w:t>
            </w:r>
          </w:p>
        </w:tc>
        <w:tc>
          <w:tcPr>
            <w:tcW w:w="2154" w:type="dxa"/>
          </w:tcPr>
          <w:p>
            <w:pPr>
              <w:pStyle w:val="0"/>
              <w:jc w:val="center"/>
            </w:pPr>
            <w:r>
              <w:rPr>
                <w:sz w:val="20"/>
              </w:rPr>
              <w:t xml:space="preserve">Ответственный исполнитель</w:t>
            </w:r>
          </w:p>
        </w:tc>
      </w:tr>
      <w:tr>
        <w:tc>
          <w:tcPr>
            <w:tcW w:w="2211" w:type="dxa"/>
          </w:tcPr>
          <w:p>
            <w:pPr>
              <w:pStyle w:val="0"/>
            </w:pPr>
            <w:r>
              <w:rPr>
                <w:sz w:val="20"/>
              </w:rPr>
              <w:t xml:space="preserve">Количество социально ориентированных некоммерческих организаций, получивших финансовую поддержку</w:t>
            </w:r>
          </w:p>
        </w:tc>
        <w:tc>
          <w:tcPr>
            <w:tcW w:w="1134" w:type="dxa"/>
          </w:tcPr>
          <w:p>
            <w:pPr>
              <w:pStyle w:val="0"/>
            </w:pPr>
            <w:r>
              <w:rPr>
                <w:sz w:val="20"/>
              </w:rPr>
              <w:t xml:space="preserve">единица</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К = К</w:t>
            </w:r>
            <w:r>
              <w:rPr>
                <w:sz w:val="20"/>
                <w:vertAlign w:val="subscript"/>
              </w:rPr>
              <w:t xml:space="preserve">СО НКО</w:t>
            </w:r>
            <w:r>
              <w:rPr>
                <w:sz w:val="20"/>
              </w:rPr>
              <w:t xml:space="preserve">, где</w:t>
            </w:r>
          </w:p>
          <w:p>
            <w:pPr>
              <w:pStyle w:val="0"/>
            </w:pPr>
            <w:r>
              <w:rPr>
                <w:sz w:val="20"/>
              </w:rPr>
            </w:r>
          </w:p>
          <w:p>
            <w:pPr>
              <w:pStyle w:val="0"/>
            </w:pPr>
            <w:r>
              <w:rPr>
                <w:sz w:val="20"/>
              </w:rPr>
              <w:t xml:space="preserve">K - количество социально ориентированных некоммерческих организаций, получивших финансовую поддержку,</w:t>
            </w:r>
          </w:p>
          <w:p>
            <w:pPr>
              <w:pStyle w:val="0"/>
            </w:pPr>
            <w:r>
              <w:rPr>
                <w:sz w:val="20"/>
              </w:rPr>
              <w:t xml:space="preserve">К</w:t>
            </w:r>
            <w:r>
              <w:rPr>
                <w:sz w:val="20"/>
                <w:vertAlign w:val="subscript"/>
              </w:rPr>
              <w:t xml:space="preserve">СО НКО</w:t>
            </w:r>
            <w:r>
              <w:rPr>
                <w:sz w:val="20"/>
              </w:rPr>
              <w:t xml:space="preserve"> - количество социально ориентированных некоммерческих организаций, получивших в отчетном году субсидий на реализацию социально значимых проектов (программ) по приоритетным направлениям социальной политики Волгоградской области</w:t>
            </w:r>
          </w:p>
        </w:tc>
        <w:tc>
          <w:tcPr>
            <w:tcW w:w="2268" w:type="dxa"/>
          </w:tcPr>
          <w:p>
            <w:pPr>
              <w:pStyle w:val="0"/>
            </w:pPr>
            <w:r>
              <w:rPr>
                <w:sz w:val="20"/>
              </w:rPr>
              <w:t xml:space="preserve">Приказ комитета по делам территориальных образований, внутренней и информационной политики Волгоградской области "Об утверждении списка победителей конкурса на предоставление социально ориентированным некоммерческим организациям, осуществляющим деятельность на территории Волгоградской области, субсидий на реализацию социально значимых проектов (программ) по приоритетным направлениям социальной политики Волгоградской области"</w:t>
            </w:r>
          </w:p>
        </w:tc>
        <w:tc>
          <w:tcPr>
            <w:tcW w:w="2154" w:type="dxa"/>
          </w:tcPr>
          <w:p>
            <w:pPr>
              <w:pStyle w:val="0"/>
            </w:pPr>
            <w:r>
              <w:rPr>
                <w:sz w:val="20"/>
              </w:rPr>
              <w:t xml:space="preserve">Управление общественных связей комитета по делам территориальных образований, внутренней и информационной политики Волгоградской области</w:t>
            </w:r>
          </w:p>
        </w:tc>
      </w:tr>
      <w:tr>
        <w:tc>
          <w:tcPr>
            <w:tcW w:w="2211" w:type="dxa"/>
          </w:tcPr>
          <w:p>
            <w:pPr>
              <w:pStyle w:val="0"/>
            </w:pPr>
            <w:r>
              <w:rPr>
                <w:sz w:val="20"/>
              </w:rPr>
              <w:t xml:space="preserve">Количество социально ориентированных некоммерческих организаций, получивших имущественную поддержку</w:t>
            </w:r>
          </w:p>
        </w:tc>
        <w:tc>
          <w:tcPr>
            <w:tcW w:w="1134" w:type="dxa"/>
          </w:tcPr>
          <w:p>
            <w:pPr>
              <w:pStyle w:val="0"/>
            </w:pPr>
            <w:r>
              <w:rPr>
                <w:sz w:val="20"/>
              </w:rPr>
              <w:t xml:space="preserve">единица</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К = К</w:t>
            </w:r>
            <w:r>
              <w:rPr>
                <w:sz w:val="20"/>
                <w:vertAlign w:val="subscript"/>
              </w:rPr>
              <w:t xml:space="preserve">имущ</w:t>
            </w:r>
            <w:r>
              <w:rPr>
                <w:sz w:val="20"/>
              </w:rPr>
              <w:t xml:space="preserve">, где</w:t>
            </w:r>
          </w:p>
          <w:p>
            <w:pPr>
              <w:pStyle w:val="0"/>
            </w:pPr>
            <w:r>
              <w:rPr>
                <w:sz w:val="20"/>
              </w:rPr>
            </w:r>
          </w:p>
          <w:p>
            <w:pPr>
              <w:pStyle w:val="0"/>
            </w:pPr>
            <w:r>
              <w:rPr>
                <w:sz w:val="20"/>
              </w:rPr>
              <w:t xml:space="preserve">K - количество социально ориентированных некоммерческих организаций, получивших имущественную поддержку,</w:t>
            </w:r>
          </w:p>
          <w:p>
            <w:pPr>
              <w:pStyle w:val="0"/>
            </w:pPr>
            <w:r>
              <w:rPr>
                <w:sz w:val="20"/>
              </w:rPr>
              <w:t xml:space="preserve">К</w:t>
            </w:r>
            <w:r>
              <w:rPr>
                <w:sz w:val="20"/>
                <w:vertAlign w:val="subscript"/>
              </w:rPr>
              <w:t xml:space="preserve">имущ</w:t>
            </w:r>
            <w:r>
              <w:rPr>
                <w:sz w:val="20"/>
              </w:rPr>
              <w:t xml:space="preserve"> - количество социально ориентированных некоммерческих организаций, получивших в отчетном году субсидии на частичное или полное возмещение затрат по арендной плате за помещение, оплате коммунальных услуг и услуг связи</w:t>
            </w:r>
          </w:p>
        </w:tc>
        <w:tc>
          <w:tcPr>
            <w:tcW w:w="2268" w:type="dxa"/>
          </w:tcPr>
          <w:p>
            <w:pPr>
              <w:pStyle w:val="0"/>
            </w:pPr>
            <w:r>
              <w:rPr>
                <w:sz w:val="20"/>
              </w:rPr>
              <w:t xml:space="preserve">Приказ комитета по делам территориальных образований, внутренней и информационной политики Волгоградской области "Об утверждении списка победителей конкурса на предоставление социально ориентированным некоммерческим организациям, осуществляющим деятельность на территории Волгоградской области, субсидий на частичное или полное возмещение затрат по арендной плате за помещение, оплате коммунальных услуг и услуг связи"</w:t>
            </w:r>
          </w:p>
        </w:tc>
        <w:tc>
          <w:tcPr>
            <w:tcW w:w="2154" w:type="dxa"/>
          </w:tcPr>
          <w:p>
            <w:pPr>
              <w:pStyle w:val="0"/>
            </w:pPr>
            <w:r>
              <w:rPr>
                <w:sz w:val="20"/>
              </w:rPr>
              <w:t xml:space="preserve">Управление общественных связей комитета по делам территориальных образований, внутренней и информационной политики Волгоградской области</w:t>
            </w:r>
          </w:p>
        </w:tc>
      </w:tr>
      <w:tr>
        <w:tc>
          <w:tcPr>
            <w:tcW w:w="2211" w:type="dxa"/>
          </w:tcPr>
          <w:p>
            <w:pPr>
              <w:pStyle w:val="0"/>
            </w:pPr>
            <w:r>
              <w:rPr>
                <w:sz w:val="20"/>
              </w:rPr>
              <w:t xml:space="preserve">Количество проведенных мероприятий, посвященных международным, общероссийским, региональным памятным и праздничным датам, юбилеям социально ориентированных некоммерческих организаций</w:t>
            </w:r>
          </w:p>
        </w:tc>
        <w:tc>
          <w:tcPr>
            <w:tcW w:w="1134" w:type="dxa"/>
          </w:tcPr>
          <w:p>
            <w:pPr>
              <w:pStyle w:val="0"/>
            </w:pPr>
            <w:r>
              <w:rPr>
                <w:sz w:val="20"/>
              </w:rPr>
              <w:t xml:space="preserve">единица</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О = О</w:t>
            </w:r>
            <w:r>
              <w:rPr>
                <w:sz w:val="20"/>
                <w:vertAlign w:val="subscript"/>
              </w:rPr>
              <w:t xml:space="preserve">ф</w:t>
            </w:r>
            <w:r>
              <w:rPr>
                <w:sz w:val="20"/>
              </w:rPr>
              <w:t xml:space="preserve">, где</w:t>
            </w:r>
          </w:p>
          <w:p>
            <w:pPr>
              <w:pStyle w:val="0"/>
            </w:pPr>
            <w:r>
              <w:rPr>
                <w:sz w:val="20"/>
              </w:rPr>
            </w:r>
          </w:p>
          <w:p>
            <w:pPr>
              <w:pStyle w:val="0"/>
            </w:pPr>
            <w:r>
              <w:rPr>
                <w:sz w:val="20"/>
              </w:rPr>
              <w:t xml:space="preserve">О - количество проведенных мероприятий, посвященных международным, общероссийским, региональным памятным и праздничным датам, юбилеям социально ориентированных некоммерческих организаций,</w:t>
            </w:r>
          </w:p>
          <w:p>
            <w:pPr>
              <w:pStyle w:val="0"/>
            </w:pPr>
            <w:r>
              <w:rPr>
                <w:sz w:val="20"/>
              </w:rPr>
              <w:t xml:space="preserve">О</w:t>
            </w:r>
            <w:r>
              <w:rPr>
                <w:sz w:val="20"/>
                <w:vertAlign w:val="subscript"/>
              </w:rPr>
              <w:t xml:space="preserve">ф</w:t>
            </w:r>
            <w:r>
              <w:rPr>
                <w:sz w:val="20"/>
              </w:rPr>
              <w:t xml:space="preserve"> - фактическое количество проведенных мероприятий, посвященных международным, общероссийским, региональным памятным и праздничным датам, юбилеям социально ориентированных некоммерческих организаций, в отчетном году</w:t>
            </w:r>
          </w:p>
        </w:tc>
        <w:tc>
          <w:tcPr>
            <w:tcW w:w="2268" w:type="dxa"/>
          </w:tcPr>
          <w:p>
            <w:pPr>
              <w:pStyle w:val="0"/>
            </w:pPr>
            <w:r>
              <w:rPr>
                <w:sz w:val="20"/>
              </w:rPr>
              <w:t xml:space="preserve">Приказы, отчеты комитета по делам территориальных образований, внутренней и информационной политики Волгоградской области</w:t>
            </w:r>
          </w:p>
        </w:tc>
        <w:tc>
          <w:tcPr>
            <w:tcW w:w="2154" w:type="dxa"/>
          </w:tcPr>
          <w:p>
            <w:pPr>
              <w:pStyle w:val="0"/>
            </w:pPr>
            <w:r>
              <w:rPr>
                <w:sz w:val="20"/>
              </w:rPr>
              <w:t xml:space="preserve">Управление общественных связей комитета по делам территориальных образований, внутренней и информационной политики Волгоградской области</w:t>
            </w:r>
          </w:p>
        </w:tc>
      </w:tr>
      <w:tr>
        <w:tc>
          <w:tcPr>
            <w:tcW w:w="2211" w:type="dxa"/>
          </w:tcPr>
          <w:p>
            <w:pPr>
              <w:pStyle w:val="0"/>
            </w:pPr>
            <w:r>
              <w:rPr>
                <w:sz w:val="20"/>
              </w:rPr>
              <w:t xml:space="preserve">Доля государственных учреждений социальной сферы, при которых действуют попечительские (общественные, наблюдательные) советы, в состав которых входят представители социально ориентированных некоммерческих организаций</w:t>
            </w:r>
          </w:p>
        </w:tc>
        <w:tc>
          <w:tcPr>
            <w:tcW w:w="1134" w:type="dxa"/>
          </w:tcPr>
          <w:p>
            <w:pPr>
              <w:pStyle w:val="0"/>
            </w:pPr>
            <w:r>
              <w:rPr>
                <w:sz w:val="20"/>
              </w:rPr>
              <w:t xml:space="preserve">процент</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Д</w:t>
            </w:r>
            <w:r>
              <w:rPr>
                <w:sz w:val="20"/>
                <w:vertAlign w:val="subscript"/>
              </w:rPr>
              <w:t xml:space="preserve">ГУ</w:t>
            </w:r>
            <w:r>
              <w:rPr>
                <w:sz w:val="20"/>
              </w:rPr>
              <w:t xml:space="preserve"> = К / С x 100, где</w:t>
            </w:r>
          </w:p>
          <w:p>
            <w:pPr>
              <w:pStyle w:val="0"/>
            </w:pPr>
            <w:r>
              <w:rPr>
                <w:sz w:val="20"/>
              </w:rPr>
            </w:r>
          </w:p>
          <w:p>
            <w:pPr>
              <w:pStyle w:val="0"/>
            </w:pPr>
            <w:r>
              <w:rPr>
                <w:sz w:val="20"/>
              </w:rPr>
              <w:t xml:space="preserve">Д</w:t>
            </w:r>
            <w:r>
              <w:rPr>
                <w:sz w:val="20"/>
                <w:vertAlign w:val="subscript"/>
              </w:rPr>
              <w:t xml:space="preserve">ГУ</w:t>
            </w:r>
            <w:r>
              <w:rPr>
                <w:sz w:val="20"/>
              </w:rPr>
              <w:t xml:space="preserve"> - доля государственных учреждений социальной сферы, при которых действуют попечительские (общественные, наблюдательные) советы, в состав которых входят представители социально ориентированных некоммерческих организаций,</w:t>
            </w:r>
          </w:p>
          <w:p>
            <w:pPr>
              <w:pStyle w:val="0"/>
            </w:pPr>
            <w:r>
              <w:rPr>
                <w:sz w:val="20"/>
              </w:rPr>
              <w:t xml:space="preserve">К - количество государственных учреждений социальной сферы, при которых действуют попечительские (общественные, наблюдательные) советы, в состав которых входят представители социально ориентированных некоммерческих организаций,</w:t>
            </w:r>
          </w:p>
          <w:p>
            <w:pPr>
              <w:pStyle w:val="0"/>
            </w:pPr>
            <w:r>
              <w:rPr>
                <w:sz w:val="20"/>
              </w:rPr>
              <w:t xml:space="preserve">С - количество государственных учреждений социальной сферы, при которых действуют попечительские (общественные, наблюдательные) советы</w:t>
            </w:r>
          </w:p>
        </w:tc>
        <w:tc>
          <w:tcPr>
            <w:tcW w:w="2268" w:type="dxa"/>
          </w:tcPr>
          <w:p>
            <w:pPr>
              <w:pStyle w:val="0"/>
            </w:pPr>
            <w:r>
              <w:rPr>
                <w:sz w:val="20"/>
              </w:rPr>
              <w:t xml:space="preserve">Отчеты органов исполнительной власти Волгоградской области о государственных учреждениях социальной сферы</w:t>
            </w:r>
          </w:p>
        </w:tc>
        <w:tc>
          <w:tcPr>
            <w:tcW w:w="2154" w:type="dxa"/>
          </w:tcPr>
          <w:p>
            <w:pPr>
              <w:pStyle w:val="0"/>
            </w:pPr>
            <w:r>
              <w:rPr>
                <w:sz w:val="20"/>
              </w:rPr>
              <w:t xml:space="preserve">Управление общественных связей комитета по делам территориальных образований, внутренней и информационной политики Волгоградской области</w:t>
            </w:r>
          </w:p>
        </w:tc>
      </w:tr>
      <w:tr>
        <w:tc>
          <w:tcPr>
            <w:tcW w:w="2211" w:type="dxa"/>
          </w:tcPr>
          <w:p>
            <w:pPr>
              <w:pStyle w:val="0"/>
            </w:pPr>
            <w:r>
              <w:rPr>
                <w:sz w:val="20"/>
              </w:rPr>
              <w:t xml:space="preserve">Доля жителей Волгоградской области в возрасте старше 14 лет, имеющих возможность участвовать в принятии решений по вопросам городского развития с использованием цифровых технологий</w:t>
            </w:r>
          </w:p>
        </w:tc>
        <w:tc>
          <w:tcPr>
            <w:tcW w:w="1134" w:type="dxa"/>
          </w:tcPr>
          <w:p>
            <w:pPr>
              <w:pStyle w:val="0"/>
            </w:pPr>
            <w:r>
              <w:rPr>
                <w:sz w:val="20"/>
              </w:rPr>
              <w:t xml:space="preserve">процент</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K = М / В x 100, где</w:t>
            </w:r>
          </w:p>
          <w:p>
            <w:pPr>
              <w:pStyle w:val="0"/>
            </w:pPr>
            <w:r>
              <w:rPr>
                <w:sz w:val="20"/>
              </w:rPr>
            </w:r>
          </w:p>
          <w:p>
            <w:pPr>
              <w:pStyle w:val="0"/>
            </w:pPr>
            <w:r>
              <w:rPr>
                <w:sz w:val="20"/>
              </w:rPr>
              <w:t xml:space="preserve">K - доля жителей Волгоградской области в возрасте старше 14 лет, имеющих возможность участвовать в принятии решений по вопросам городского развития с использованием цифровых технологий,</w:t>
            </w:r>
          </w:p>
          <w:p>
            <w:pPr>
              <w:pStyle w:val="0"/>
            </w:pPr>
            <w:r>
              <w:rPr>
                <w:sz w:val="20"/>
              </w:rPr>
              <w:t xml:space="preserve">М - количество жителей Волгоградской области в возрасте старше 14 лет, имеющих учетную запись в единой системе идентификации и аутентификации (зарегистрированных на портале Госуслуг), наличие которой обеспечивает возможность участвовать в принятии решений по вопросам городского развития с использованием цифровых платформ,</w:t>
            </w:r>
          </w:p>
          <w:p>
            <w:pPr>
              <w:pStyle w:val="0"/>
            </w:pPr>
            <w:r>
              <w:rPr>
                <w:sz w:val="20"/>
              </w:rPr>
              <w:t xml:space="preserve">В - количество жителей Волгоградской области в возрасте старше 14 лет по данным официальной статистики</w:t>
            </w:r>
          </w:p>
        </w:tc>
        <w:tc>
          <w:tcPr>
            <w:tcW w:w="2268" w:type="dxa"/>
          </w:tcPr>
          <w:p>
            <w:pPr>
              <w:pStyle w:val="0"/>
            </w:pPr>
            <w:r>
              <w:rPr>
                <w:sz w:val="20"/>
              </w:rPr>
              <w:t xml:space="preserve">Статистика Министерства цифрового развития, связи и массовых коммуникаций Российской Федерации</w:t>
            </w:r>
          </w:p>
        </w:tc>
        <w:tc>
          <w:tcPr>
            <w:tcW w:w="2154" w:type="dxa"/>
          </w:tcPr>
          <w:p>
            <w:pPr>
              <w:pStyle w:val="0"/>
            </w:pPr>
            <w:r>
              <w:rPr>
                <w:sz w:val="20"/>
              </w:rPr>
              <w:t xml:space="preserve">Комитет информационных технологий Волгоградской области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right"/>
      </w:pPr>
      <w:r>
        <w:rPr>
          <w:sz w:val="20"/>
        </w:rPr>
        <w:t xml:space="preserve">к приказу</w:t>
      </w:r>
    </w:p>
    <w:p>
      <w:pPr>
        <w:pStyle w:val="0"/>
        <w:jc w:val="right"/>
      </w:pPr>
      <w:r>
        <w:rPr>
          <w:sz w:val="20"/>
        </w:rPr>
        <w:t xml:space="preserve">комитета</w:t>
      </w:r>
    </w:p>
    <w:p>
      <w:pPr>
        <w:pStyle w:val="0"/>
        <w:jc w:val="right"/>
      </w:pPr>
      <w:r>
        <w:rPr>
          <w:sz w:val="20"/>
        </w:rPr>
        <w:t xml:space="preserve">по делам территориальных</w:t>
      </w:r>
    </w:p>
    <w:p>
      <w:pPr>
        <w:pStyle w:val="0"/>
        <w:jc w:val="right"/>
      </w:pPr>
      <w:r>
        <w:rPr>
          <w:sz w:val="20"/>
        </w:rPr>
        <w:t xml:space="preserve">образований, внутренней</w:t>
      </w:r>
    </w:p>
    <w:p>
      <w:pPr>
        <w:pStyle w:val="0"/>
        <w:jc w:val="right"/>
      </w:pPr>
      <w:r>
        <w:rPr>
          <w:sz w:val="20"/>
        </w:rPr>
        <w:t xml:space="preserve">и информационной политики</w:t>
      </w:r>
    </w:p>
    <w:p>
      <w:pPr>
        <w:pStyle w:val="0"/>
        <w:jc w:val="right"/>
      </w:pPr>
      <w:r>
        <w:rPr>
          <w:sz w:val="20"/>
        </w:rPr>
        <w:t xml:space="preserve">Волгоградской области</w:t>
      </w:r>
    </w:p>
    <w:p>
      <w:pPr>
        <w:pStyle w:val="0"/>
        <w:jc w:val="right"/>
      </w:pPr>
      <w:r>
        <w:rPr>
          <w:sz w:val="20"/>
        </w:rPr>
        <w:t xml:space="preserve">от 14 ноября 2024 г. N 22</w:t>
      </w:r>
    </w:p>
    <w:p>
      <w:pPr>
        <w:pStyle w:val="0"/>
        <w:jc w:val="both"/>
      </w:pPr>
      <w:r>
        <w:rPr>
          <w:sz w:val="20"/>
        </w:rPr>
      </w:r>
    </w:p>
    <w:bookmarkStart w:id="113" w:name="P113"/>
    <w:bookmarkEnd w:id="113"/>
    <w:p>
      <w:pPr>
        <w:pStyle w:val="2"/>
        <w:jc w:val="center"/>
      </w:pPr>
      <w:r>
        <w:rPr>
          <w:sz w:val="20"/>
        </w:rPr>
        <w:t xml:space="preserve">МЕТОДИКА</w:t>
      </w:r>
    </w:p>
    <w:p>
      <w:pPr>
        <w:pStyle w:val="2"/>
        <w:jc w:val="center"/>
      </w:pPr>
      <w:r>
        <w:rPr>
          <w:sz w:val="20"/>
        </w:rPr>
        <w:t xml:space="preserve">РАСЧЕТА ПОКАЗАТЕЛЕЙ КОМПЛЕКСА ПРОЦЕССНЫХ МЕРОПРИЯТИЙ</w:t>
      </w:r>
    </w:p>
    <w:p>
      <w:pPr>
        <w:pStyle w:val="2"/>
        <w:jc w:val="center"/>
      </w:pPr>
      <w:r>
        <w:rPr>
          <w:sz w:val="20"/>
        </w:rPr>
        <w:t xml:space="preserve">"РЕАЛИЗАЦИЯ ГОСУДАРСТВЕННОЙ ИНФОРМАЦИОННОЙ ПОЛИТИКИ</w:t>
      </w:r>
    </w:p>
    <w:p>
      <w:pPr>
        <w:pStyle w:val="2"/>
        <w:jc w:val="center"/>
      </w:pPr>
      <w:r>
        <w:rPr>
          <w:sz w:val="20"/>
        </w:rPr>
        <w:t xml:space="preserve">ВОЛГОГРАДСКОЙ ОБЛАСТИ" ГОСУДАРСТВЕННОЙ ПРОГРАММЫ</w:t>
      </w:r>
    </w:p>
    <w:p>
      <w:pPr>
        <w:pStyle w:val="2"/>
        <w:jc w:val="center"/>
      </w:pPr>
      <w:r>
        <w:rPr>
          <w:sz w:val="20"/>
        </w:rPr>
        <w:t xml:space="preserve">ВОЛГОГРАДСКОЙ ОБЛАСТИ "РАЗВИТИЕ ГРАЖДАНСКОГО ОБЩЕСТВА</w:t>
      </w:r>
    </w:p>
    <w:p>
      <w:pPr>
        <w:pStyle w:val="2"/>
        <w:jc w:val="center"/>
      </w:pPr>
      <w:r>
        <w:rPr>
          <w:sz w:val="20"/>
        </w:rPr>
        <w:t xml:space="preserve">НА ТЕРРИТОРИИ ВОЛГОГРАДСКОЙ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1134"/>
        <w:gridCol w:w="1587"/>
        <w:gridCol w:w="2835"/>
        <w:gridCol w:w="2268"/>
        <w:gridCol w:w="2154"/>
      </w:tblGrid>
      <w:tr>
        <w:tc>
          <w:tcPr>
            <w:tcW w:w="2211" w:type="dxa"/>
          </w:tcPr>
          <w:p>
            <w:pPr>
              <w:pStyle w:val="0"/>
              <w:jc w:val="center"/>
            </w:pPr>
            <w:r>
              <w:rPr>
                <w:sz w:val="20"/>
              </w:rPr>
              <w:t xml:space="preserve">Наименование показателя</w:t>
            </w:r>
          </w:p>
        </w:tc>
        <w:tc>
          <w:tcPr>
            <w:tcW w:w="1134" w:type="dxa"/>
          </w:tcPr>
          <w:p>
            <w:pPr>
              <w:pStyle w:val="0"/>
              <w:jc w:val="center"/>
            </w:pPr>
            <w:r>
              <w:rPr>
                <w:sz w:val="20"/>
              </w:rPr>
              <w:t xml:space="preserve">Единица измерения</w:t>
            </w:r>
          </w:p>
        </w:tc>
        <w:tc>
          <w:tcPr>
            <w:tcW w:w="1587" w:type="dxa"/>
          </w:tcPr>
          <w:p>
            <w:pPr>
              <w:pStyle w:val="0"/>
              <w:jc w:val="center"/>
            </w:pPr>
            <w:r>
              <w:rPr>
                <w:sz w:val="20"/>
              </w:rPr>
              <w:t xml:space="preserve">Периодичность и сроки формирования фактического значения показателя</w:t>
            </w:r>
          </w:p>
        </w:tc>
        <w:tc>
          <w:tcPr>
            <w:tcW w:w="2835" w:type="dxa"/>
          </w:tcPr>
          <w:p>
            <w:pPr>
              <w:pStyle w:val="0"/>
              <w:jc w:val="center"/>
            </w:pPr>
            <w:r>
              <w:rPr>
                <w:sz w:val="20"/>
              </w:rPr>
              <w:t xml:space="preserve">Формула расчета целевого показателя</w:t>
            </w:r>
          </w:p>
        </w:tc>
        <w:tc>
          <w:tcPr>
            <w:tcW w:w="2268" w:type="dxa"/>
          </w:tcPr>
          <w:p>
            <w:pPr>
              <w:pStyle w:val="0"/>
              <w:jc w:val="center"/>
            </w:pPr>
            <w:r>
              <w:rPr>
                <w:sz w:val="20"/>
              </w:rPr>
              <w:t xml:space="preserve">Источник информации</w:t>
            </w:r>
          </w:p>
        </w:tc>
        <w:tc>
          <w:tcPr>
            <w:tcW w:w="2154" w:type="dxa"/>
          </w:tcPr>
          <w:p>
            <w:pPr>
              <w:pStyle w:val="0"/>
              <w:jc w:val="center"/>
            </w:pPr>
            <w:r>
              <w:rPr>
                <w:sz w:val="20"/>
              </w:rPr>
              <w:t xml:space="preserve">Ответственный исполнитель</w:t>
            </w:r>
          </w:p>
        </w:tc>
      </w:tr>
      <w:tr>
        <w:tc>
          <w:tcPr>
            <w:tcW w:w="2211" w:type="dxa"/>
          </w:tcPr>
          <w:p>
            <w:pPr>
              <w:pStyle w:val="0"/>
            </w:pPr>
            <w:r>
              <w:rPr>
                <w:sz w:val="20"/>
              </w:rPr>
              <w:t xml:space="preserve">Количество средств массовой информации, задействованных в информировании населения о реализации приоритетных направлений социально-экономического развития Волгоградской области</w:t>
            </w:r>
          </w:p>
        </w:tc>
        <w:tc>
          <w:tcPr>
            <w:tcW w:w="1134" w:type="dxa"/>
          </w:tcPr>
          <w:p>
            <w:pPr>
              <w:pStyle w:val="0"/>
            </w:pPr>
            <w:r>
              <w:rPr>
                <w:sz w:val="20"/>
              </w:rPr>
              <w:t xml:space="preserve">единица</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K = N, где</w:t>
            </w:r>
          </w:p>
          <w:p>
            <w:pPr>
              <w:pStyle w:val="0"/>
            </w:pPr>
            <w:r>
              <w:rPr>
                <w:sz w:val="20"/>
              </w:rPr>
            </w:r>
          </w:p>
          <w:p>
            <w:pPr>
              <w:pStyle w:val="0"/>
            </w:pPr>
            <w:r>
              <w:rPr>
                <w:sz w:val="20"/>
              </w:rPr>
              <w:t xml:space="preserve">K - количество средств массовой информации, задействованных в информировании населения о реализации приоритетных направлений социально-экономического развития Волгоградской области,</w:t>
            </w:r>
          </w:p>
          <w:p>
            <w:pPr>
              <w:pStyle w:val="0"/>
            </w:pPr>
            <w:r>
              <w:rPr>
                <w:sz w:val="20"/>
              </w:rPr>
              <w:t xml:space="preserve">N - количество средств массовой информации, задействованных в информировании населения в рамках исполнения заключенных государственных контрактов в рамках реализации мероприятия "Осуществлено информирование населения о реализации приоритетных направлений социально-экономического развития Волгоградской области в теле- и радиоэфире, в печатных и интернет-изданиях"</w:t>
            </w:r>
          </w:p>
        </w:tc>
        <w:tc>
          <w:tcPr>
            <w:tcW w:w="2268" w:type="dxa"/>
          </w:tcPr>
          <w:p>
            <w:pPr>
              <w:pStyle w:val="0"/>
            </w:pPr>
            <w:r>
              <w:rPr>
                <w:sz w:val="20"/>
              </w:rPr>
              <w:t xml:space="preserve">Отчетные документы по государственным контрактам, заключенным в рамках реализации мероприятия "Осуществлено информирование населения о реализации приоритетных направлений социально-экономического развития Волгоградской области в теле- и радиоэфире, в печатных и интернет-изданиях"</w:t>
            </w:r>
          </w:p>
        </w:tc>
        <w:tc>
          <w:tcPr>
            <w:tcW w:w="2154" w:type="dxa"/>
          </w:tcPr>
          <w:p>
            <w:pPr>
              <w:pStyle w:val="0"/>
            </w:pPr>
            <w:r>
              <w:rPr>
                <w:sz w:val="20"/>
              </w:rPr>
              <w:t xml:space="preserve">Управление информационной политики комитета по делам территориальных образований, внутренней и информационной политики Волгоградской области</w:t>
            </w:r>
          </w:p>
        </w:tc>
      </w:tr>
      <w:tr>
        <w:tc>
          <w:tcPr>
            <w:tcW w:w="2211" w:type="dxa"/>
          </w:tcPr>
          <w:p>
            <w:pPr>
              <w:pStyle w:val="0"/>
            </w:pPr>
            <w:r>
              <w:rPr>
                <w:sz w:val="20"/>
              </w:rPr>
              <w:t xml:space="preserve">Количество средств массовой информации, задействованных в реализации творческих проектов по социально значимым темам</w:t>
            </w:r>
          </w:p>
        </w:tc>
        <w:tc>
          <w:tcPr>
            <w:tcW w:w="1134" w:type="dxa"/>
          </w:tcPr>
          <w:p>
            <w:pPr>
              <w:pStyle w:val="0"/>
            </w:pPr>
            <w:r>
              <w:rPr>
                <w:sz w:val="20"/>
              </w:rPr>
              <w:t xml:space="preserve">единица</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K = N, где</w:t>
            </w:r>
          </w:p>
          <w:p>
            <w:pPr>
              <w:pStyle w:val="0"/>
            </w:pPr>
            <w:r>
              <w:rPr>
                <w:sz w:val="20"/>
              </w:rPr>
            </w:r>
          </w:p>
          <w:p>
            <w:pPr>
              <w:pStyle w:val="0"/>
            </w:pPr>
            <w:r>
              <w:rPr>
                <w:sz w:val="20"/>
              </w:rPr>
              <w:t xml:space="preserve">K - количество средств массовой информации, задействованных в реализации творческих проектов по социально значимым темам,</w:t>
            </w:r>
          </w:p>
          <w:p>
            <w:pPr>
              <w:pStyle w:val="0"/>
            </w:pPr>
            <w:r>
              <w:rPr>
                <w:sz w:val="20"/>
              </w:rPr>
              <w:t xml:space="preserve">N - количество средств массовой информации, задействованных в реализации творческих проектов в рамках реализации мероприятия "Проведен конкурс грантов Волгоградской области средствам массовой информации на реализацию творческих проектов по социально значимым темам"</w:t>
            </w:r>
          </w:p>
        </w:tc>
        <w:tc>
          <w:tcPr>
            <w:tcW w:w="2268" w:type="dxa"/>
          </w:tcPr>
          <w:p>
            <w:pPr>
              <w:pStyle w:val="0"/>
            </w:pPr>
            <w:r>
              <w:rPr>
                <w:sz w:val="20"/>
              </w:rPr>
              <w:t xml:space="preserve">Отчетные документы по соглашениям о предоставлении из областного бюджета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и услуг</w:t>
            </w:r>
          </w:p>
        </w:tc>
        <w:tc>
          <w:tcPr>
            <w:tcW w:w="2154" w:type="dxa"/>
          </w:tcPr>
          <w:p>
            <w:pPr>
              <w:pStyle w:val="0"/>
            </w:pPr>
            <w:r>
              <w:rPr>
                <w:sz w:val="20"/>
              </w:rPr>
              <w:t xml:space="preserve">Управление информационной политики комитета по делам территориальных образований, внутренней и информационной политики Волгоградской области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3</w:t>
      </w:r>
    </w:p>
    <w:p>
      <w:pPr>
        <w:pStyle w:val="0"/>
        <w:jc w:val="right"/>
      </w:pPr>
      <w:r>
        <w:rPr>
          <w:sz w:val="20"/>
        </w:rPr>
        <w:t xml:space="preserve">к приказу</w:t>
      </w:r>
    </w:p>
    <w:p>
      <w:pPr>
        <w:pStyle w:val="0"/>
        <w:jc w:val="right"/>
      </w:pPr>
      <w:r>
        <w:rPr>
          <w:sz w:val="20"/>
        </w:rPr>
        <w:t xml:space="preserve">комитета</w:t>
      </w:r>
    </w:p>
    <w:p>
      <w:pPr>
        <w:pStyle w:val="0"/>
        <w:jc w:val="right"/>
      </w:pPr>
      <w:r>
        <w:rPr>
          <w:sz w:val="20"/>
        </w:rPr>
        <w:t xml:space="preserve">по делам территориальных</w:t>
      </w:r>
    </w:p>
    <w:p>
      <w:pPr>
        <w:pStyle w:val="0"/>
        <w:jc w:val="right"/>
      </w:pPr>
      <w:r>
        <w:rPr>
          <w:sz w:val="20"/>
        </w:rPr>
        <w:t xml:space="preserve">образований, внутренней</w:t>
      </w:r>
    </w:p>
    <w:p>
      <w:pPr>
        <w:pStyle w:val="0"/>
        <w:jc w:val="right"/>
      </w:pPr>
      <w:r>
        <w:rPr>
          <w:sz w:val="20"/>
        </w:rPr>
        <w:t xml:space="preserve">и информационной политики</w:t>
      </w:r>
    </w:p>
    <w:p>
      <w:pPr>
        <w:pStyle w:val="0"/>
        <w:jc w:val="right"/>
      </w:pPr>
      <w:r>
        <w:rPr>
          <w:sz w:val="20"/>
        </w:rPr>
        <w:t xml:space="preserve">Волгоградской области</w:t>
      </w:r>
    </w:p>
    <w:p>
      <w:pPr>
        <w:pStyle w:val="0"/>
        <w:jc w:val="right"/>
      </w:pPr>
      <w:r>
        <w:rPr>
          <w:sz w:val="20"/>
        </w:rPr>
        <w:t xml:space="preserve">от 14 ноября 2024 г. N 22</w:t>
      </w:r>
    </w:p>
    <w:p>
      <w:pPr>
        <w:pStyle w:val="0"/>
        <w:jc w:val="both"/>
      </w:pPr>
      <w:r>
        <w:rPr>
          <w:sz w:val="20"/>
        </w:rPr>
      </w:r>
    </w:p>
    <w:bookmarkStart w:id="158" w:name="P158"/>
    <w:bookmarkEnd w:id="158"/>
    <w:p>
      <w:pPr>
        <w:pStyle w:val="2"/>
        <w:jc w:val="center"/>
      </w:pPr>
      <w:r>
        <w:rPr>
          <w:sz w:val="20"/>
        </w:rPr>
        <w:t xml:space="preserve">МЕТОДИКА</w:t>
      </w:r>
    </w:p>
    <w:p>
      <w:pPr>
        <w:pStyle w:val="2"/>
        <w:jc w:val="center"/>
      </w:pPr>
      <w:r>
        <w:rPr>
          <w:sz w:val="20"/>
        </w:rPr>
        <w:t xml:space="preserve">РАСЧЕТА ПОКАЗАТЕЛЕЙ КОМПЛЕКСА ПРОЦЕССНЫХ МЕРОПРИЯТИЙ</w:t>
      </w:r>
    </w:p>
    <w:p>
      <w:pPr>
        <w:pStyle w:val="2"/>
        <w:jc w:val="center"/>
      </w:pPr>
      <w:r>
        <w:rPr>
          <w:sz w:val="20"/>
        </w:rPr>
        <w:t xml:space="preserve">"РАЗВИТИЕ И СОВЕРШЕНСТВОВАНИЕ СИСТЕМЫ ТЕРРИТОРИАЛЬНОГО</w:t>
      </w:r>
    </w:p>
    <w:p>
      <w:pPr>
        <w:pStyle w:val="2"/>
        <w:jc w:val="center"/>
      </w:pPr>
      <w:r>
        <w:rPr>
          <w:sz w:val="20"/>
        </w:rPr>
        <w:t xml:space="preserve">ОБЩЕСТВЕННОГО САМОУПРАВЛЕНИЯ ВОЛГОГРАДСКОЙ ОБЛАСТИ"</w:t>
      </w:r>
    </w:p>
    <w:p>
      <w:pPr>
        <w:pStyle w:val="2"/>
        <w:jc w:val="center"/>
      </w:pPr>
      <w:r>
        <w:rPr>
          <w:sz w:val="20"/>
        </w:rPr>
        <w:t xml:space="preserve">ГОСУДАРСТВЕННОЙ ПРОГРАММЫ ВОЛГОГРАДСКОЙ ОБЛАСТИ "РАЗВИТИЕ</w:t>
      </w:r>
    </w:p>
    <w:p>
      <w:pPr>
        <w:pStyle w:val="2"/>
        <w:jc w:val="center"/>
      </w:pPr>
      <w:r>
        <w:rPr>
          <w:sz w:val="20"/>
        </w:rPr>
        <w:t xml:space="preserve">ГРАЖДАНСКОГО ОБЩЕСТВА НА ТЕРРИТОРИИ ВОЛГОГРАДСКОЙ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81"/>
        <w:gridCol w:w="1134"/>
        <w:gridCol w:w="1587"/>
        <w:gridCol w:w="2835"/>
        <w:gridCol w:w="2268"/>
        <w:gridCol w:w="2154"/>
      </w:tblGrid>
      <w:tr>
        <w:tc>
          <w:tcPr>
            <w:tcW w:w="2381" w:type="dxa"/>
          </w:tcPr>
          <w:p>
            <w:pPr>
              <w:pStyle w:val="0"/>
              <w:jc w:val="center"/>
            </w:pPr>
            <w:r>
              <w:rPr>
                <w:sz w:val="20"/>
              </w:rPr>
              <w:t xml:space="preserve">Наименование показателя</w:t>
            </w:r>
          </w:p>
        </w:tc>
        <w:tc>
          <w:tcPr>
            <w:tcW w:w="1134" w:type="dxa"/>
          </w:tcPr>
          <w:p>
            <w:pPr>
              <w:pStyle w:val="0"/>
              <w:jc w:val="center"/>
            </w:pPr>
            <w:r>
              <w:rPr>
                <w:sz w:val="20"/>
              </w:rPr>
              <w:t xml:space="preserve">Единица измерения</w:t>
            </w:r>
          </w:p>
        </w:tc>
        <w:tc>
          <w:tcPr>
            <w:tcW w:w="1587" w:type="dxa"/>
          </w:tcPr>
          <w:p>
            <w:pPr>
              <w:pStyle w:val="0"/>
              <w:jc w:val="center"/>
            </w:pPr>
            <w:r>
              <w:rPr>
                <w:sz w:val="20"/>
              </w:rPr>
              <w:t xml:space="preserve">Периодичность и сроки формирования фактического значения показателя</w:t>
            </w:r>
          </w:p>
        </w:tc>
        <w:tc>
          <w:tcPr>
            <w:tcW w:w="2835" w:type="dxa"/>
          </w:tcPr>
          <w:p>
            <w:pPr>
              <w:pStyle w:val="0"/>
              <w:jc w:val="center"/>
            </w:pPr>
            <w:r>
              <w:rPr>
                <w:sz w:val="20"/>
              </w:rPr>
              <w:t xml:space="preserve">Формула расчета целевого показателя</w:t>
            </w:r>
          </w:p>
        </w:tc>
        <w:tc>
          <w:tcPr>
            <w:tcW w:w="2268" w:type="dxa"/>
          </w:tcPr>
          <w:p>
            <w:pPr>
              <w:pStyle w:val="0"/>
              <w:jc w:val="center"/>
            </w:pPr>
            <w:r>
              <w:rPr>
                <w:sz w:val="20"/>
              </w:rPr>
              <w:t xml:space="preserve">Источник информации</w:t>
            </w:r>
          </w:p>
        </w:tc>
        <w:tc>
          <w:tcPr>
            <w:tcW w:w="2154" w:type="dxa"/>
          </w:tcPr>
          <w:p>
            <w:pPr>
              <w:pStyle w:val="0"/>
              <w:jc w:val="center"/>
            </w:pPr>
            <w:r>
              <w:rPr>
                <w:sz w:val="20"/>
              </w:rPr>
              <w:t xml:space="preserve">Ответственный исполнитель</w:t>
            </w:r>
          </w:p>
        </w:tc>
      </w:tr>
      <w:tr>
        <w:tc>
          <w:tcPr>
            <w:tcW w:w="2381" w:type="dxa"/>
          </w:tcPr>
          <w:p>
            <w:pPr>
              <w:pStyle w:val="0"/>
            </w:pPr>
            <w:r>
              <w:rPr>
                <w:sz w:val="20"/>
              </w:rPr>
              <w:t xml:space="preserve">Доля реализованных инициатив граждан в результате взаимодействия организаций территориального общественного самоуправления с органами местного самоуправления муниципальных образований Волгоградской области от общего числа выдвинутых инициатив</w:t>
            </w:r>
          </w:p>
        </w:tc>
        <w:tc>
          <w:tcPr>
            <w:tcW w:w="1134" w:type="dxa"/>
          </w:tcPr>
          <w:p>
            <w:pPr>
              <w:pStyle w:val="0"/>
            </w:pPr>
            <w:r>
              <w:rPr>
                <w:sz w:val="20"/>
              </w:rPr>
              <w:t xml:space="preserve">процент</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Д</w:t>
            </w:r>
            <w:r>
              <w:rPr>
                <w:sz w:val="20"/>
                <w:vertAlign w:val="subscript"/>
              </w:rPr>
              <w:t xml:space="preserve">ИГ</w:t>
            </w:r>
            <w:r>
              <w:rPr>
                <w:sz w:val="20"/>
              </w:rPr>
              <w:t xml:space="preserve"> = Р / И x 100, где</w:t>
            </w:r>
          </w:p>
          <w:p>
            <w:pPr>
              <w:pStyle w:val="0"/>
            </w:pPr>
            <w:r>
              <w:rPr>
                <w:sz w:val="20"/>
              </w:rPr>
            </w:r>
          </w:p>
          <w:p>
            <w:pPr>
              <w:pStyle w:val="0"/>
            </w:pPr>
            <w:r>
              <w:rPr>
                <w:sz w:val="20"/>
              </w:rPr>
              <w:t xml:space="preserve">Д</w:t>
            </w:r>
            <w:r>
              <w:rPr>
                <w:sz w:val="20"/>
                <w:vertAlign w:val="subscript"/>
              </w:rPr>
              <w:t xml:space="preserve">ИГ</w:t>
            </w:r>
            <w:r>
              <w:rPr>
                <w:sz w:val="20"/>
              </w:rPr>
              <w:t xml:space="preserve"> - доля реализованных инициатив граждан в результате взаимодействия организаций территориального общественного самоуправления с органами местного самоуправления муниципальных образований Волгоградской области от общего числа выдвинутых инициатив,</w:t>
            </w:r>
          </w:p>
          <w:p>
            <w:pPr>
              <w:pStyle w:val="0"/>
            </w:pPr>
            <w:r>
              <w:rPr>
                <w:sz w:val="20"/>
              </w:rPr>
              <w:t xml:space="preserve">Р - количество реализованных инициатив граждан в результате взаимодействия организаций территориального общественного самоуправления с органами местного самоуправления муниципальных образований Волгоградской области,</w:t>
            </w:r>
          </w:p>
          <w:p>
            <w:pPr>
              <w:pStyle w:val="0"/>
            </w:pPr>
            <w:r>
              <w:rPr>
                <w:sz w:val="20"/>
              </w:rPr>
              <w:t xml:space="preserve">И - количество выдвинутых инициатив</w:t>
            </w:r>
          </w:p>
        </w:tc>
        <w:tc>
          <w:tcPr>
            <w:tcW w:w="2268" w:type="dxa"/>
          </w:tcPr>
          <w:p>
            <w:pPr>
              <w:pStyle w:val="0"/>
            </w:pPr>
            <w:r>
              <w:rPr>
                <w:sz w:val="20"/>
              </w:rPr>
              <w:t xml:space="preserve">Отчеты органов местного самоуправления муниципальных образований Волгоградской области о деятельности территориального общественного самоуправления</w:t>
            </w:r>
          </w:p>
        </w:tc>
        <w:tc>
          <w:tcPr>
            <w:tcW w:w="2154" w:type="dxa"/>
          </w:tcPr>
          <w:p>
            <w:pPr>
              <w:pStyle w:val="0"/>
            </w:pPr>
            <w:r>
              <w:rPr>
                <w:sz w:val="20"/>
              </w:rPr>
              <w:t xml:space="preserve">Управление общественных связей комитета по делам территориальных образований, внутренней и информационной политики Волгоградской области</w:t>
            </w:r>
          </w:p>
        </w:tc>
      </w:tr>
      <w:tr>
        <w:tc>
          <w:tcPr>
            <w:tcW w:w="2381" w:type="dxa"/>
          </w:tcPr>
          <w:p>
            <w:pPr>
              <w:pStyle w:val="0"/>
            </w:pPr>
            <w:r>
              <w:rPr>
                <w:sz w:val="20"/>
              </w:rPr>
              <w:t xml:space="preserve">Количество совещаний, круглых столов для актива ТОС по вопросам деятельности организаций социальной защиты населения, функционирующих в границах ТОС</w:t>
            </w:r>
          </w:p>
        </w:tc>
        <w:tc>
          <w:tcPr>
            <w:tcW w:w="1134" w:type="dxa"/>
          </w:tcPr>
          <w:p>
            <w:pPr>
              <w:pStyle w:val="0"/>
            </w:pPr>
            <w:r>
              <w:rPr>
                <w:sz w:val="20"/>
              </w:rPr>
              <w:t xml:space="preserve">единица</w:t>
            </w:r>
          </w:p>
        </w:tc>
        <w:tc>
          <w:tcPr>
            <w:tcW w:w="1587" w:type="dxa"/>
          </w:tcPr>
          <w:p>
            <w:pPr>
              <w:pStyle w:val="0"/>
            </w:pPr>
            <w:r>
              <w:rPr>
                <w:sz w:val="20"/>
              </w:rPr>
              <w:t xml:space="preserve">ежегодно до 01 февраля года, следующего за отчетным</w:t>
            </w:r>
          </w:p>
        </w:tc>
        <w:tc>
          <w:tcPr>
            <w:tcW w:w="2835" w:type="dxa"/>
          </w:tcPr>
          <w:p>
            <w:pPr>
              <w:pStyle w:val="0"/>
              <w:jc w:val="center"/>
            </w:pPr>
            <w:r>
              <w:rPr>
                <w:sz w:val="20"/>
              </w:rPr>
              <w:t xml:space="preserve">К = К</w:t>
            </w:r>
            <w:r>
              <w:rPr>
                <w:sz w:val="20"/>
                <w:vertAlign w:val="subscript"/>
              </w:rPr>
              <w:t xml:space="preserve">ФС</w:t>
            </w:r>
            <w:r>
              <w:rPr>
                <w:sz w:val="20"/>
              </w:rPr>
              <w:t xml:space="preserve">, где</w:t>
            </w:r>
          </w:p>
          <w:p>
            <w:pPr>
              <w:pStyle w:val="0"/>
            </w:pPr>
            <w:r>
              <w:rPr>
                <w:sz w:val="20"/>
              </w:rPr>
            </w:r>
          </w:p>
          <w:p>
            <w:pPr>
              <w:pStyle w:val="0"/>
            </w:pPr>
            <w:r>
              <w:rPr>
                <w:sz w:val="20"/>
              </w:rPr>
              <w:t xml:space="preserve">К - количество совещаний, круглых столов для актива ТОС по вопросам деятельности организаций социальной защиты населения, функционирующих в границах ТОС,</w:t>
            </w:r>
          </w:p>
          <w:p>
            <w:pPr>
              <w:pStyle w:val="0"/>
            </w:pPr>
            <w:r>
              <w:rPr>
                <w:sz w:val="20"/>
              </w:rPr>
              <w:t xml:space="preserve">К</w:t>
            </w:r>
            <w:r>
              <w:rPr>
                <w:sz w:val="20"/>
                <w:vertAlign w:val="subscript"/>
              </w:rPr>
              <w:t xml:space="preserve">ФС</w:t>
            </w:r>
            <w:r>
              <w:rPr>
                <w:sz w:val="20"/>
              </w:rPr>
              <w:t xml:space="preserve"> - фактическое количество проведенных 43 государственными казенными учреждениями центрами социальной защиты населения совещаний, круглых столов для актива ТОС по вопросам деятельности организаций социальной защиты населения</w:t>
            </w:r>
          </w:p>
        </w:tc>
        <w:tc>
          <w:tcPr>
            <w:tcW w:w="2268" w:type="dxa"/>
          </w:tcPr>
          <w:p>
            <w:pPr>
              <w:pStyle w:val="0"/>
            </w:pPr>
            <w:r>
              <w:rPr>
                <w:sz w:val="20"/>
              </w:rPr>
              <w:t xml:space="preserve">Отчеты государственных казенных учреждений центров социальной защиты населения</w:t>
            </w:r>
          </w:p>
        </w:tc>
        <w:tc>
          <w:tcPr>
            <w:tcW w:w="2154" w:type="dxa"/>
          </w:tcPr>
          <w:p>
            <w:pPr>
              <w:pStyle w:val="0"/>
            </w:pPr>
            <w:r>
              <w:rPr>
                <w:sz w:val="20"/>
              </w:rPr>
              <w:t xml:space="preserve">Управление организации предоставления мер социальной поддержки и социальных выплат комитета социальной защиты населения Волгоградской области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комитета по делам территориальных образований, внутренней и информационной политики Волгоградской обл. от 14.11.2...</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комитета по делам территориальных образований, внутренней и информационной политики Волгоградской обл. от 14.11.2...</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0&amp;n=273417&amp;dst=143201" TargetMode = "External"/>
	<Relationship Id="rId8" Type="http://schemas.openxmlformats.org/officeDocument/2006/relationships/header" Target="header2.xml"/>
	<Relationship Id="rId9"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по делам территориальных образований, внутренней и информационной политики Волгоградской обл. от 14.11.2024 N 22
"Об утверждении методик расчета показателей комплекса процессных мероприятий государственной программы Волгоградской области "Развитие гражданского общества на территории Волгоградской области"</dc:title>
  <dcterms:created xsi:type="dcterms:W3CDTF">2025-01-12T12:11:47Z</dcterms:created>
</cp:coreProperties>
</file>