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Постановление Правительства Вологодской области от 26.05.2025 N 783</w:t>
              <w:br/>
              <w:t xml:space="preserve">(ред. от 13.10.2025)</w:t>
              <w:br/>
              <w:t xml:space="preserve">"Об утверждении Порядка предоставления грантов на поддержку добровольчества на территории Вологодской области в 2025 году"</w:t>
              <w:br/>
              <w:t xml:space="preserve">(вместе с "Положением о конкурсной комиссии по отбору получателей грантов на поддержку добровольчества на территории Вологодской области (далее - Положение)")</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02.01.2026</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0"/>
        </w:rPr>
      </w:r>
    </w:p>
    <w:p>
      <w:pPr>
        <w:pStyle w:val="2"/>
        <w:outlineLvl w:val="0"/>
        <w:jc w:val="center"/>
      </w:pPr>
      <w:r>
        <w:rPr>
          <w:sz w:val="20"/>
        </w:rPr>
        <w:t xml:space="preserve">ПРАВИТЕЛЬСТВО ВОЛОГОДСКОЙ ОБЛАСТИ</w:t>
      </w:r>
    </w:p>
    <w:p>
      <w:pPr>
        <w:pStyle w:val="2"/>
        <w:jc w:val="both"/>
      </w:pPr>
      <w:r>
        <w:rPr>
          <w:sz w:val="20"/>
        </w:rPr>
      </w:r>
    </w:p>
    <w:p>
      <w:pPr>
        <w:pStyle w:val="2"/>
        <w:jc w:val="center"/>
      </w:pPr>
      <w:r>
        <w:rPr>
          <w:sz w:val="20"/>
        </w:rPr>
        <w:t xml:space="preserve">ПОСТАНОВЛЕНИЕ</w:t>
      </w:r>
    </w:p>
    <w:p>
      <w:pPr>
        <w:pStyle w:val="2"/>
        <w:jc w:val="center"/>
      </w:pPr>
      <w:r>
        <w:rPr>
          <w:sz w:val="20"/>
        </w:rPr>
        <w:t xml:space="preserve">от 26 мая 2025 г. N 783</w:t>
      </w:r>
    </w:p>
    <w:p>
      <w:pPr>
        <w:pStyle w:val="2"/>
        <w:jc w:val="both"/>
      </w:pPr>
      <w:r>
        <w:rPr>
          <w:sz w:val="20"/>
        </w:rPr>
      </w:r>
    </w:p>
    <w:p>
      <w:pPr>
        <w:pStyle w:val="2"/>
        <w:jc w:val="center"/>
      </w:pPr>
      <w:r>
        <w:rPr>
          <w:sz w:val="20"/>
        </w:rPr>
        <w:t xml:space="preserve">ОБ УТВЕРЖДЕНИИ ПОРЯДКА ПРЕДОСТАВЛЕНИЯ ГРАНТОВ НА ПОДДЕРЖКУ</w:t>
      </w:r>
    </w:p>
    <w:p>
      <w:pPr>
        <w:pStyle w:val="2"/>
        <w:jc w:val="center"/>
      </w:pPr>
      <w:r>
        <w:rPr>
          <w:sz w:val="20"/>
        </w:rPr>
        <w:t xml:space="preserve">ДОБРОВОЛЬЧЕСТВА НА ТЕРРИТОРИИ ВОЛОГОДСКОЙ ОБЛАСТИ</w:t>
      </w:r>
    </w:p>
    <w:p>
      <w:pPr>
        <w:pStyle w:val="2"/>
        <w:jc w:val="center"/>
      </w:pPr>
      <w:r>
        <w:rPr>
          <w:sz w:val="20"/>
        </w:rPr>
        <w:t xml:space="preserve">В 2025 ГОДУ</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w:t>
            </w:r>
            <w:hyperlink w:history="0" r:id="rId8" w:tooltip="Постановление Правительства Вологодской области от 13.10.2025 N 1405 &quot;О внесении изменений в постановление Правительства области от 26 мая 2025 года N 783&quot; {КонсультантПлюс}">
              <w:r>
                <w:rPr>
                  <w:sz w:val="20"/>
                  <w:color w:val="0000ff"/>
                </w:rPr>
                <w:t xml:space="preserve">постановления</w:t>
              </w:r>
            </w:hyperlink>
            <w:r>
              <w:rPr>
                <w:sz w:val="20"/>
                <w:color w:val="392c69"/>
              </w:rPr>
              <w:t xml:space="preserve"> Правительства Вологодской области</w:t>
            </w:r>
          </w:p>
          <w:p>
            <w:pPr>
              <w:pStyle w:val="0"/>
              <w:jc w:val="center"/>
            </w:pPr>
            <w:r>
              <w:rPr>
                <w:sz w:val="20"/>
                <w:color w:val="392c69"/>
              </w:rPr>
              <w:t xml:space="preserve">от 13.10.2025 N 1405)</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0"/>
        <w:ind w:firstLine="540"/>
        <w:jc w:val="both"/>
      </w:pPr>
      <w:r>
        <w:rPr>
          <w:sz w:val="20"/>
        </w:rPr>
        <w:t xml:space="preserve">В соответствии с </w:t>
      </w:r>
      <w:hyperlink w:history="0" r:id="rId9" w:tooltip="&quot;Бюджетный кодекс Российской Федерации&quot; от 31.07.1998 N 145-ФЗ (ред. от 28.11.2025) ------------ Недействующая редакция {КонсультантПлюс}">
        <w:r>
          <w:rPr>
            <w:sz w:val="20"/>
            <w:color w:val="0000ff"/>
          </w:rPr>
          <w:t xml:space="preserve">пунктом 7 статьи 78</w:t>
        </w:r>
      </w:hyperlink>
      <w:r>
        <w:rPr>
          <w:sz w:val="20"/>
        </w:rPr>
        <w:t xml:space="preserve">, </w:t>
      </w:r>
      <w:hyperlink w:history="0" r:id="rId10" w:tooltip="&quot;Бюджетный кодекс Российской Федерации&quot; от 31.07.1998 N 145-ФЗ (ред. от 28.11.2025) ------------ Недействующая редакция {КонсультантПлюс}">
        <w:r>
          <w:rPr>
            <w:sz w:val="20"/>
            <w:color w:val="0000ff"/>
          </w:rPr>
          <w:t xml:space="preserve">пунктом 4 статьи 78.1</w:t>
        </w:r>
      </w:hyperlink>
      <w:r>
        <w:rPr>
          <w:sz w:val="20"/>
        </w:rPr>
        <w:t xml:space="preserve">, </w:t>
      </w:r>
      <w:hyperlink w:history="0" r:id="rId11" w:tooltip="&quot;Бюджетный кодекс Российской Федерации&quot; от 31.07.1998 N 145-ФЗ (ред. от 28.11.2025) ------------ Недействующая редакция {КонсультантПлюс}">
        <w:r>
          <w:rPr>
            <w:sz w:val="20"/>
            <w:color w:val="0000ff"/>
          </w:rPr>
          <w:t xml:space="preserve">статьей 78.5</w:t>
        </w:r>
      </w:hyperlink>
      <w:r>
        <w:rPr>
          <w:sz w:val="20"/>
        </w:rPr>
        <w:t xml:space="preserve"> Бюджетного кодекса Российской Федерации, </w:t>
      </w:r>
      <w:hyperlink w:history="0" r:id="rId12" w:tooltip="Постановление Правительства РФ от 25.10.2023 N 1782 (ред. от 16.11.2024) &quot;Об утверждении общих требований к нормативным правовым актам, муниципальным правовым актам, регулирующим предоставление из бюджетов субъектов Российской Федерации, местных бюджетов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 и проведение отборов получателей указанных субсидий, в том числе грантов в форме субсидий&quot; ------------ Недействующая редакция {КонсультантПлюс}">
        <w:r>
          <w:rPr>
            <w:sz w:val="20"/>
            <w:color w:val="0000ff"/>
          </w:rPr>
          <w:t xml:space="preserve">постановлением</w:t>
        </w:r>
      </w:hyperlink>
      <w:r>
        <w:rPr>
          <w:sz w:val="20"/>
        </w:rPr>
        <w:t xml:space="preserve"> Правительства Российской Федерации от 25 октября 2023 года N 1782 "Об утверждении общих требований к нормативным правовым актам, муниципальным правовым актам, регулирующим предоставление из бюджетов субъектов Российской Федерации, местных бюджетов субсидий, в том числе грантов в форме субсидий, юридическим лицам, индивидуальным предпринимателям, а также физически лицам - производителям товаров, работ, услуг и проведение отборов получателей указанных субсидий, в том числе грантов в форме субсидий", </w:t>
      </w:r>
      <w:hyperlink w:history="0" r:id="rId13" w:tooltip="Постановление Правительства Вологодской области от 04.07.2016 N 590 (ред. от 16.12.2024) &quot;О некоторых вопросах предоставления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quot; (вместе с &quot;Правилами предоставления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quot;) (с изм. и доп., вст {КонсультантПлюс}">
        <w:r>
          <w:rPr>
            <w:sz w:val="20"/>
            <w:color w:val="0000ff"/>
          </w:rPr>
          <w:t xml:space="preserve">постановлением</w:t>
        </w:r>
      </w:hyperlink>
      <w:r>
        <w:rPr>
          <w:sz w:val="20"/>
        </w:rPr>
        <w:t xml:space="preserve"> Правительства области от 4 июля 2016 года N 590 "О некоторых вопросах предоставления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 в целях реализации на территории Вологодской области регионального проекта "Мы вместе" национального проекта "Молодежь и дети" Правительство области постановляет:</w:t>
      </w:r>
    </w:p>
    <w:p>
      <w:pPr>
        <w:pStyle w:val="0"/>
        <w:spacing w:before="200" w:lineRule="auto"/>
        <w:ind w:firstLine="540"/>
        <w:jc w:val="both"/>
      </w:pPr>
      <w:r>
        <w:rPr>
          <w:sz w:val="20"/>
        </w:rPr>
        <w:t xml:space="preserve">1. Утвердить </w:t>
      </w:r>
      <w:hyperlink w:history="0" w:anchor="P29" w:tooltip="ПОРЯДОК">
        <w:r>
          <w:rPr>
            <w:sz w:val="20"/>
            <w:color w:val="0000ff"/>
          </w:rPr>
          <w:t xml:space="preserve">Порядок</w:t>
        </w:r>
      </w:hyperlink>
      <w:r>
        <w:rPr>
          <w:sz w:val="20"/>
        </w:rPr>
        <w:t xml:space="preserve"> предоставления грантов на поддержку добровольчества на территории Вологодской области в 2025 году (прилагается).</w:t>
      </w:r>
    </w:p>
    <w:p>
      <w:pPr>
        <w:pStyle w:val="0"/>
        <w:spacing w:before="200" w:lineRule="auto"/>
        <w:ind w:firstLine="540"/>
        <w:jc w:val="both"/>
      </w:pPr>
      <w:r>
        <w:rPr>
          <w:sz w:val="20"/>
        </w:rPr>
        <w:t xml:space="preserve">2. Настоящее постановление вступает в силу со дня его официального опубликования.</w:t>
      </w:r>
    </w:p>
    <w:p>
      <w:pPr>
        <w:pStyle w:val="0"/>
        <w:jc w:val="both"/>
      </w:pPr>
      <w:r>
        <w:rPr>
          <w:sz w:val="20"/>
        </w:rPr>
      </w:r>
    </w:p>
    <w:p>
      <w:pPr>
        <w:pStyle w:val="0"/>
        <w:jc w:val="right"/>
      </w:pPr>
      <w:r>
        <w:rPr>
          <w:sz w:val="20"/>
        </w:rPr>
        <w:t xml:space="preserve">Председатель Правительства области</w:t>
      </w:r>
    </w:p>
    <w:p>
      <w:pPr>
        <w:pStyle w:val="0"/>
        <w:jc w:val="right"/>
      </w:pPr>
      <w:r>
        <w:rPr>
          <w:sz w:val="20"/>
        </w:rPr>
        <w:t xml:space="preserve">А.М.МОРДВИНОВ</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0"/>
        <w:jc w:val="right"/>
      </w:pPr>
      <w:r>
        <w:rPr>
          <w:sz w:val="20"/>
        </w:rPr>
        <w:t xml:space="preserve">Утвержден</w:t>
      </w:r>
    </w:p>
    <w:p>
      <w:pPr>
        <w:pStyle w:val="0"/>
        <w:jc w:val="right"/>
      </w:pPr>
      <w:r>
        <w:rPr>
          <w:sz w:val="20"/>
        </w:rPr>
        <w:t xml:space="preserve">Постановлением</w:t>
      </w:r>
    </w:p>
    <w:p>
      <w:pPr>
        <w:pStyle w:val="0"/>
        <w:jc w:val="right"/>
      </w:pPr>
      <w:r>
        <w:rPr>
          <w:sz w:val="20"/>
        </w:rPr>
        <w:t xml:space="preserve">Правительства области</w:t>
      </w:r>
    </w:p>
    <w:p>
      <w:pPr>
        <w:pStyle w:val="0"/>
        <w:jc w:val="right"/>
      </w:pPr>
      <w:r>
        <w:rPr>
          <w:sz w:val="20"/>
        </w:rPr>
        <w:t xml:space="preserve">от 26 мая 2025 г. N 783</w:t>
      </w:r>
    </w:p>
    <w:p>
      <w:pPr>
        <w:pStyle w:val="0"/>
        <w:jc w:val="both"/>
      </w:pPr>
      <w:r>
        <w:rPr>
          <w:sz w:val="20"/>
        </w:rPr>
      </w:r>
    </w:p>
    <w:bookmarkStart w:id="29" w:name="P29"/>
    <w:bookmarkEnd w:id="29"/>
    <w:p>
      <w:pPr>
        <w:pStyle w:val="2"/>
        <w:jc w:val="center"/>
      </w:pPr>
      <w:r>
        <w:rPr>
          <w:sz w:val="20"/>
        </w:rPr>
        <w:t xml:space="preserve">ПОРЯДОК</w:t>
      </w:r>
    </w:p>
    <w:p>
      <w:pPr>
        <w:pStyle w:val="2"/>
        <w:jc w:val="center"/>
      </w:pPr>
      <w:r>
        <w:rPr>
          <w:sz w:val="20"/>
        </w:rPr>
        <w:t xml:space="preserve">ПРЕДОСТАВЛЕНИЯ ГРАНТОВ НА ПОДДЕРЖКУ ДОБРОВОЛЬЧЕСТВА</w:t>
      </w:r>
    </w:p>
    <w:p>
      <w:pPr>
        <w:pStyle w:val="2"/>
        <w:jc w:val="center"/>
      </w:pPr>
      <w:r>
        <w:rPr>
          <w:sz w:val="20"/>
        </w:rPr>
        <w:t xml:space="preserve">НА ТЕРРИТОРИИ ВОЛОГОДСКОЙ ОБЛАСТИ В 2025 ГОДУ</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w:t>
            </w:r>
            <w:hyperlink w:history="0" r:id="rId14" w:tooltip="Постановление Правительства Вологодской области от 13.10.2025 N 1405 &quot;О внесении изменений в постановление Правительства области от 26 мая 2025 года N 783&quot; {КонсультантПлюс}">
              <w:r>
                <w:rPr>
                  <w:sz w:val="20"/>
                  <w:color w:val="0000ff"/>
                </w:rPr>
                <w:t xml:space="preserve">постановления</w:t>
              </w:r>
            </w:hyperlink>
            <w:r>
              <w:rPr>
                <w:sz w:val="20"/>
                <w:color w:val="392c69"/>
              </w:rPr>
              <w:t xml:space="preserve"> Правительства Вологодской области</w:t>
            </w:r>
          </w:p>
          <w:p>
            <w:pPr>
              <w:pStyle w:val="0"/>
              <w:jc w:val="center"/>
            </w:pPr>
            <w:r>
              <w:rPr>
                <w:sz w:val="20"/>
                <w:color w:val="392c69"/>
              </w:rPr>
              <w:t xml:space="preserve">от 13.10.2025 N 1405)</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2"/>
        <w:outlineLvl w:val="1"/>
        <w:jc w:val="center"/>
      </w:pPr>
      <w:r>
        <w:rPr>
          <w:sz w:val="20"/>
        </w:rPr>
        <w:t xml:space="preserve">1. Общие положения о предоставлении грантов</w:t>
      </w:r>
    </w:p>
    <w:p>
      <w:pPr>
        <w:pStyle w:val="0"/>
        <w:jc w:val="both"/>
      </w:pPr>
      <w:r>
        <w:rPr>
          <w:sz w:val="20"/>
        </w:rPr>
      </w:r>
    </w:p>
    <w:p>
      <w:pPr>
        <w:pStyle w:val="0"/>
        <w:ind w:firstLine="540"/>
        <w:jc w:val="both"/>
      </w:pPr>
      <w:r>
        <w:rPr>
          <w:sz w:val="20"/>
        </w:rPr>
        <w:t xml:space="preserve">1.1. Настоящий Порядок регулирует условия и порядок предоставления грантов на поддержку добровольчества на территории Вологодской области (далее - грант) в 2025 году, а также требования к отчетности, об осуществлении контроля (мониторинга) за соблюдением условий и порядка предоставления грантов и ответственности за их нарушение.</w:t>
      </w:r>
    </w:p>
    <w:bookmarkStart w:id="39" w:name="P39"/>
    <w:bookmarkEnd w:id="39"/>
    <w:p>
      <w:pPr>
        <w:pStyle w:val="0"/>
        <w:spacing w:before="200" w:lineRule="auto"/>
        <w:ind w:firstLine="540"/>
        <w:jc w:val="both"/>
      </w:pPr>
      <w:r>
        <w:rPr>
          <w:sz w:val="20"/>
        </w:rPr>
        <w:t xml:space="preserve">1.2. Грант предоставляется в целях развития и поддержки добровольчества (волонтерства) на территории Вологодской области путем поддержки центров общественного развития "Добро.Центр" (далее также - Добро.Центр) на территории Вологодской области.</w:t>
      </w:r>
    </w:p>
    <w:p>
      <w:pPr>
        <w:pStyle w:val="0"/>
        <w:spacing w:before="200" w:lineRule="auto"/>
        <w:ind w:firstLine="540"/>
        <w:jc w:val="both"/>
      </w:pPr>
      <w:r>
        <w:rPr>
          <w:sz w:val="20"/>
        </w:rPr>
        <w:t xml:space="preserve">Грант предоставляется на финансовое обеспечение следующих затрат:</w:t>
      </w:r>
    </w:p>
    <w:p>
      <w:pPr>
        <w:pStyle w:val="0"/>
        <w:spacing w:before="200" w:lineRule="auto"/>
        <w:ind w:firstLine="540"/>
        <w:jc w:val="both"/>
      </w:pPr>
      <w:r>
        <w:rPr>
          <w:sz w:val="20"/>
        </w:rPr>
        <w:t xml:space="preserve">на материально-техническое обеспечение и оснащение Добро.Центров: приобретение основных средств, мебели, техники, офисного оборудования, расходных материалов к нему, оборудования для рабочего пространства, аренду имущества (недвижимого имущества) за исключением аренды земельных участков и других обособленных природных объектов, закупку услуг по эксплуатационному, программному и транспортному обеспечению, закупку товаров (работ, услуг) по содержанию имущества (за исключением расходов на капитальный ремонт зданий);</w:t>
      </w:r>
    </w:p>
    <w:p>
      <w:pPr>
        <w:pStyle w:val="0"/>
        <w:spacing w:before="200" w:lineRule="auto"/>
        <w:ind w:firstLine="540"/>
        <w:jc w:val="both"/>
      </w:pPr>
      <w:r>
        <w:rPr>
          <w:sz w:val="20"/>
        </w:rPr>
        <w:t xml:space="preserve">на проведение мероприятий Добро.Центром (в том числе за пределами Вологодской области в соответствии с представленным планом мероприятий Добро.Центра), включая оплату транспортных расходов, работ/услуг привлеченных специалистов, изготовление полиграфической и имиджевой продукции, аренды помещений для организации и проведения мероприятий вне места нахождения Добро.Центра, проживание, питание участников мероприятия.</w:t>
      </w:r>
    </w:p>
    <w:p>
      <w:pPr>
        <w:pStyle w:val="0"/>
        <w:spacing w:before="200" w:lineRule="auto"/>
        <w:ind w:firstLine="540"/>
        <w:jc w:val="both"/>
      </w:pPr>
      <w:r>
        <w:rPr>
          <w:sz w:val="20"/>
        </w:rPr>
        <w:t xml:space="preserve">Общий объем затрат не может превышать 600,0 тыс. рублей.</w:t>
      </w:r>
    </w:p>
    <w:p>
      <w:pPr>
        <w:pStyle w:val="0"/>
        <w:spacing w:before="200" w:lineRule="auto"/>
        <w:ind w:firstLine="540"/>
        <w:jc w:val="both"/>
      </w:pPr>
      <w:r>
        <w:rPr>
          <w:sz w:val="20"/>
        </w:rPr>
        <w:t xml:space="preserve">1.3. Грант предоставляется по результатам отбора путем проведения конкурса исходя из наилучших условий достижения результатов предоставления субсидий (далее также - отбор).</w:t>
      </w:r>
    </w:p>
    <w:p>
      <w:pPr>
        <w:pStyle w:val="0"/>
        <w:spacing w:before="200" w:lineRule="auto"/>
        <w:ind w:firstLine="540"/>
        <w:jc w:val="both"/>
      </w:pPr>
      <w:r>
        <w:rPr>
          <w:sz w:val="20"/>
        </w:rPr>
        <w:t xml:space="preserve">1.4. Предоставление гранта осуществляется за счет бюджетных ассигнований, предусмотренных в областном бюджете, сводной бюджетной росписи на реализацию государственной </w:t>
      </w:r>
      <w:hyperlink w:history="0" r:id="rId15" w:tooltip="Постановление Правительства Вологодской области от 27.05.2019 N 491 (ред. от 02.12.2025) &quot;О государственной программе &quot;Создание условий для развития гражданского общества и потенциала молодежи в Вологодской области&quot; (вместе с &quot;Государственной программой &quot;Создание условий для развития гражданского общества и потенциала молодежи в Вологодской области&quot; (далее - государственная программа)&quot;, &quot;Правилами предоставления и распределения субсидий бюджетам муниципальных образований области на реализацию Программы комп {КонсультантПлюс}">
        <w:r>
          <w:rPr>
            <w:sz w:val="20"/>
            <w:color w:val="0000ff"/>
          </w:rPr>
          <w:t xml:space="preserve">программы</w:t>
        </w:r>
      </w:hyperlink>
      <w:r>
        <w:rPr>
          <w:sz w:val="20"/>
        </w:rPr>
        <w:t xml:space="preserve"> "Создание условий для развития гражданского общества и потенциала молодежи в Вологодской области", утвержденной постановлением Правительства области от 27 мая 2019 года N 491.</w:t>
      </w:r>
    </w:p>
    <w:p>
      <w:pPr>
        <w:pStyle w:val="0"/>
        <w:spacing w:before="200" w:lineRule="auto"/>
        <w:ind w:firstLine="540"/>
        <w:jc w:val="both"/>
      </w:pPr>
      <w:r>
        <w:rPr>
          <w:sz w:val="20"/>
        </w:rPr>
        <w:t xml:space="preserve">1.5. Исполнительным органом области, осуществляющим функции главного распорядителя бюджетных средств, до которого в соответствии с бюджетным законодательством Российской Федерации как получателя бюджетных средств доведены в установленном порядке лимиты бюджетных обязательств на предоставление грантов на соответствующий финансовый год, является Министерство молодежной политики области (далее - уполномоченный орган).</w:t>
      </w:r>
    </w:p>
    <w:p>
      <w:pPr>
        <w:pStyle w:val="0"/>
        <w:spacing w:before="200" w:lineRule="auto"/>
        <w:ind w:firstLine="540"/>
        <w:jc w:val="both"/>
      </w:pPr>
      <w:r>
        <w:rPr>
          <w:sz w:val="20"/>
        </w:rPr>
        <w:t xml:space="preserve">Гранты предоставляются в пределах доведенных до уполномоченного органа лимитов бюджетных обязательств.</w:t>
      </w:r>
    </w:p>
    <w:p>
      <w:pPr>
        <w:pStyle w:val="0"/>
        <w:spacing w:before="200" w:lineRule="auto"/>
        <w:ind w:firstLine="540"/>
        <w:jc w:val="both"/>
      </w:pPr>
      <w:r>
        <w:rPr>
          <w:sz w:val="20"/>
        </w:rPr>
        <w:t xml:space="preserve">1.6. Информация о гранте размещается на едином портале бюджетной системы Российской Федерации в информационно-телекоммуникационной сети "Интернет" (далее соответственно - сеть "Интернет") (в разделе единого портала) в порядке, установленном Министерством финансов Российской Федерации.</w:t>
      </w:r>
    </w:p>
    <w:p>
      <w:pPr>
        <w:pStyle w:val="0"/>
        <w:spacing w:before="200" w:lineRule="auto"/>
        <w:ind w:firstLine="540"/>
        <w:jc w:val="both"/>
      </w:pPr>
      <w:r>
        <w:rPr>
          <w:sz w:val="20"/>
        </w:rPr>
        <w:t xml:space="preserve">1.7. Проведение отбора, заключение соглашений о предоставлении гранта предусмотрено в государственной интегрированной информационной системе управления общественными финансами "Электронный бюджет" в соответствии со </w:t>
      </w:r>
      <w:hyperlink w:history="0" r:id="rId16" w:tooltip="&quot;Бюджетный кодекс Российской Федерации&quot; от 31.07.1998 N 145-ФЗ (ред. от 28.11.2025) ------------ Недействующая редакция {КонсультантПлюс}">
        <w:r>
          <w:rPr>
            <w:sz w:val="20"/>
            <w:color w:val="0000ff"/>
          </w:rPr>
          <w:t xml:space="preserve">статьей 78.5</w:t>
        </w:r>
      </w:hyperlink>
      <w:r>
        <w:rPr>
          <w:sz w:val="20"/>
        </w:rPr>
        <w:t xml:space="preserve"> Бюджетного кодекса Российской Федерации.</w:t>
      </w:r>
    </w:p>
    <w:p>
      <w:pPr>
        <w:pStyle w:val="0"/>
        <w:jc w:val="both"/>
      </w:pPr>
      <w:r>
        <w:rPr>
          <w:sz w:val="20"/>
        </w:rPr>
      </w:r>
    </w:p>
    <w:p>
      <w:pPr>
        <w:pStyle w:val="2"/>
        <w:outlineLvl w:val="1"/>
        <w:jc w:val="center"/>
      </w:pPr>
      <w:r>
        <w:rPr>
          <w:sz w:val="20"/>
        </w:rPr>
        <w:t xml:space="preserve">2. Условия и порядок предоставления грантов</w:t>
      </w:r>
    </w:p>
    <w:p>
      <w:pPr>
        <w:pStyle w:val="0"/>
        <w:jc w:val="both"/>
      </w:pPr>
      <w:r>
        <w:rPr>
          <w:sz w:val="20"/>
        </w:rPr>
      </w:r>
    </w:p>
    <w:bookmarkStart w:id="53" w:name="P53"/>
    <w:bookmarkEnd w:id="53"/>
    <w:p>
      <w:pPr>
        <w:pStyle w:val="0"/>
        <w:ind w:firstLine="540"/>
        <w:jc w:val="both"/>
      </w:pPr>
      <w:r>
        <w:rPr>
          <w:sz w:val="20"/>
        </w:rPr>
        <w:t xml:space="preserve">2.1. Грант предоставляется юридическим лицам (за исключением организаций, являющихся казенными учреждениями), получившим социальную франшизу путем заключения лицензионного договора (соглашения) с Ассоциацией </w:t>
      </w:r>
      <w:hyperlink w:history="0" r:id="rId17">
        <w:r>
          <w:rPr>
            <w:sz w:val="20"/>
            <w:color w:val="0000ff"/>
          </w:rPr>
          <w:t xml:space="preserve">Добро.рф</w:t>
        </w:r>
      </w:hyperlink>
      <w:r>
        <w:rPr>
          <w:sz w:val="20"/>
        </w:rPr>
        <w:t xml:space="preserve"> на открытие Центра общественного развития "Добро.Центр", осуществляющим деятельность на территории Вологодской области, на цели, указанные в </w:t>
      </w:r>
      <w:hyperlink w:history="0" w:anchor="P39" w:tooltip="1.2. Грант предоставляется в целях развития и поддержки добровольчества (волонтерства) на территории Вологодской области путем поддержки центров общественного развития &quot;Добро.Центр&quot; (далее также - Добро.Центр) на территории Вологодской области.">
        <w:r>
          <w:rPr>
            <w:sz w:val="20"/>
            <w:color w:val="0000ff"/>
          </w:rPr>
          <w:t xml:space="preserve">пункте 1.2</w:t>
        </w:r>
      </w:hyperlink>
      <w:r>
        <w:rPr>
          <w:sz w:val="20"/>
        </w:rPr>
        <w:t xml:space="preserve"> настоящего Порядка.</w:t>
      </w:r>
    </w:p>
    <w:bookmarkStart w:id="54" w:name="P54"/>
    <w:bookmarkEnd w:id="54"/>
    <w:p>
      <w:pPr>
        <w:pStyle w:val="0"/>
        <w:spacing w:before="200" w:lineRule="auto"/>
        <w:ind w:firstLine="540"/>
        <w:jc w:val="both"/>
      </w:pPr>
      <w:r>
        <w:rPr>
          <w:sz w:val="20"/>
        </w:rPr>
        <w:t xml:space="preserve">2.2. Участник отбора должен соответствовать следующим требованиям:</w:t>
      </w:r>
    </w:p>
    <w:bookmarkStart w:id="55" w:name="P55"/>
    <w:bookmarkEnd w:id="55"/>
    <w:p>
      <w:pPr>
        <w:pStyle w:val="0"/>
        <w:spacing w:before="200" w:lineRule="auto"/>
        <w:ind w:firstLine="540"/>
        <w:jc w:val="both"/>
      </w:pPr>
      <w:r>
        <w:rPr>
          <w:sz w:val="20"/>
        </w:rPr>
        <w:t xml:space="preserve">2.2.1. по состоянию на даты рассмотрения заявки на участие в отборе (далее - заявка) и заключения соглашения о предоставлении гранта:</w:t>
      </w:r>
    </w:p>
    <w:p>
      <w:pPr>
        <w:pStyle w:val="0"/>
        <w:spacing w:before="200" w:lineRule="auto"/>
        <w:ind w:firstLine="540"/>
        <w:jc w:val="both"/>
      </w:pPr>
      <w:r>
        <w:rPr>
          <w:sz w:val="20"/>
        </w:rPr>
        <w:t xml:space="preserve">не является иностранным юридическим лицом, в том числе местом регистрации которого является государство или территория, включенные в утвержденный Министерством финансов Российской Федерации </w:t>
      </w:r>
      <w:hyperlink w:history="0" r:id="rId18" w:tooltip="Приказ Минфина России от 26.05.2022 N 83н &quot;Об утверждении Перечня государств и территорий, используемых для промежуточного (офшорного) владения активами в Российской Федерации&quot; (Зарегистрировано в Минюсте России 27.06.2022 N 69021) {КонсультантПлюс}">
        <w:r>
          <w:rPr>
            <w:sz w:val="20"/>
            <w:color w:val="0000ff"/>
          </w:rPr>
          <w:t xml:space="preserve">перечень</w:t>
        </w:r>
      </w:hyperlink>
      <w:r>
        <w:rPr>
          <w:sz w:val="20"/>
        </w:rPr>
        <w:t xml:space="preserve"> государств и территорий, используемых для промежуточного (офшорного) владения активами в Российской Федерации (далее - офшорные компании), а также российским юридическим лицом, в уставном (складочном) капитале которого доля прямого или косвенного (через третьих лиц) участия офшорных компаний в совокупности превышает 25 процентов (если иное не предусмотрено законодательством Российской Федерации). При расчете доли участия офшорных компаний в капитале российских юридических лиц не учитывается прямое и (или) косвенное участие офшорных компаний в капитале публичных акционерных обществ (в том числе со статусом международной компании), акции которых обращаются на организованных торгах в Российской Федерации, а также косвенное участие офшорных компаний в капитале других российских юридических лиц, реализованное через участие в капитале указанных публичных акционерных обществ;</w:t>
      </w:r>
    </w:p>
    <w:p>
      <w:pPr>
        <w:pStyle w:val="0"/>
        <w:spacing w:before="200" w:lineRule="auto"/>
        <w:ind w:firstLine="540"/>
        <w:jc w:val="both"/>
      </w:pPr>
      <w:r>
        <w:rPr>
          <w:sz w:val="20"/>
        </w:rPr>
        <w:t xml:space="preserve">не находится в перечне организаций и физических лиц, в отношении которых имеются сведения об их причастности к экстремистской деятельности или терроризму;</w:t>
      </w:r>
    </w:p>
    <w:p>
      <w:pPr>
        <w:pStyle w:val="0"/>
        <w:spacing w:before="200" w:lineRule="auto"/>
        <w:ind w:firstLine="540"/>
        <w:jc w:val="both"/>
      </w:pPr>
      <w:r>
        <w:rPr>
          <w:sz w:val="20"/>
        </w:rPr>
        <w:t xml:space="preserve">не находится в составляемых в рамках реализации полномочий, предусмотренных </w:t>
      </w:r>
      <w:hyperlink w:history="0" r:id="rId19" w:tooltip="&quot;Раздел I. Понятие международного права, его сущность и роль в международных отношениях, политике и дипломатии. 1. Устав Организации Объединенных Наций&quot; (Принят в г. Сан-Франциско 26.06.1945) (с изм. и доп. от 20.12.1971) {КонсультантПлюс}">
        <w:r>
          <w:rPr>
            <w:sz w:val="20"/>
            <w:color w:val="0000ff"/>
          </w:rPr>
          <w:t xml:space="preserve">главой VII</w:t>
        </w:r>
      </w:hyperlink>
      <w:r>
        <w:rPr>
          <w:sz w:val="20"/>
        </w:rPr>
        <w:t xml:space="preserve"> Устава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w:t>
      </w:r>
    </w:p>
    <w:p>
      <w:pPr>
        <w:pStyle w:val="0"/>
        <w:spacing w:before="200" w:lineRule="auto"/>
        <w:ind w:firstLine="540"/>
        <w:jc w:val="both"/>
      </w:pPr>
      <w:r>
        <w:rPr>
          <w:sz w:val="20"/>
        </w:rPr>
        <w:t xml:space="preserve">не получает средства из областного бюджета в году предоставления гранта на цели, установленные настоящим Порядком;</w:t>
      </w:r>
    </w:p>
    <w:p>
      <w:pPr>
        <w:pStyle w:val="0"/>
        <w:spacing w:before="200" w:lineRule="auto"/>
        <w:ind w:firstLine="540"/>
        <w:jc w:val="both"/>
      </w:pPr>
      <w:r>
        <w:rPr>
          <w:sz w:val="20"/>
        </w:rPr>
        <w:t xml:space="preserve">не является иностранным агентом в соответствии с Федеральным </w:t>
      </w:r>
      <w:hyperlink w:history="0" r:id="rId20" w:tooltip="Федеральный закон от 14.07.2022 N 255-ФЗ (ред. от 21.04.2025) &quot;О контроле за деятельностью лиц, находящихся под иностранным влиянием&quot; (с изм. и доп., вступ. в силу с 01.09.2025) {КонсультантПлюс}">
        <w:r>
          <w:rPr>
            <w:sz w:val="20"/>
            <w:color w:val="0000ff"/>
          </w:rPr>
          <w:t xml:space="preserve">законом</w:t>
        </w:r>
      </w:hyperlink>
      <w:r>
        <w:rPr>
          <w:sz w:val="20"/>
        </w:rPr>
        <w:t xml:space="preserve"> "О контроле за деятельностью лиц, находящихся под иностранным влиянием";</w:t>
      </w:r>
    </w:p>
    <w:p>
      <w:pPr>
        <w:pStyle w:val="0"/>
        <w:spacing w:before="200" w:lineRule="auto"/>
        <w:ind w:firstLine="540"/>
        <w:jc w:val="both"/>
      </w:pPr>
      <w:r>
        <w:rPr>
          <w:sz w:val="20"/>
        </w:rPr>
        <w:t xml:space="preserve">участник отбора не находится в процессе реорганизации (за исключением реорганизации в форме присоединения к юридическому лицу, являющемуся участником отбора, другого юридического лица), ликвидации, в отношении его не введена процедура банкротства, деятельность участника отбора не приостановлена в порядке, предусмотренном законодательством Российской Федерации;</w:t>
      </w:r>
    </w:p>
    <w:p>
      <w:pPr>
        <w:pStyle w:val="0"/>
        <w:spacing w:before="200" w:lineRule="auto"/>
        <w:ind w:firstLine="540"/>
        <w:jc w:val="both"/>
      </w:pPr>
      <w:r>
        <w:rPr>
          <w:sz w:val="20"/>
        </w:rPr>
        <w:t xml:space="preserve">на едином налоговом счете участника отбора отсутствует или не превышает размер, определенный </w:t>
      </w:r>
      <w:hyperlink w:history="0" r:id="rId21" w:tooltip="&quot;Налоговый кодекс Российской Федерации (часть первая)&quot; от 31.07.1998 N 146-ФЗ (ред. от 28.11.2025) ------------ Недействующая редакция {КонсультантПлюс}">
        <w:r>
          <w:rPr>
            <w:sz w:val="20"/>
            <w:color w:val="0000ff"/>
          </w:rPr>
          <w:t xml:space="preserve">пунктом 3 статьи 47</w:t>
        </w:r>
      </w:hyperlink>
      <w:r>
        <w:rPr>
          <w:sz w:val="20"/>
        </w:rPr>
        <w:t xml:space="preserve"> Налогового кодекса Российской Федерации, задолженность по уплате налогов, сборов и страховых взносов в бюджеты бюджетной системы Российской Федерации;</w:t>
      </w:r>
    </w:p>
    <w:p>
      <w:pPr>
        <w:pStyle w:val="0"/>
        <w:spacing w:before="200" w:lineRule="auto"/>
        <w:ind w:firstLine="540"/>
        <w:jc w:val="both"/>
      </w:pPr>
      <w:r>
        <w:rPr>
          <w:sz w:val="20"/>
        </w:rPr>
        <w:t xml:space="preserve">2.2.2. по состоянию на первое число месяца подачи заявки на участие в конкурсе у участника отбора отсутствуют просроченная задолженность по возврату в областной бюджет иных субсидий, бюджетных инвестиций, а также иная просроченная (неурегулированная) задолженность по денежным обязательствам перед Вологодской областью.</w:t>
      </w:r>
    </w:p>
    <w:p>
      <w:pPr>
        <w:pStyle w:val="0"/>
        <w:spacing w:before="200" w:lineRule="auto"/>
        <w:ind w:firstLine="540"/>
        <w:jc w:val="both"/>
      </w:pPr>
      <w:r>
        <w:rPr>
          <w:sz w:val="20"/>
        </w:rPr>
        <w:t xml:space="preserve">2.3. Взаимодействие уполномоченного органа с участниками отбора, членами конкурсной комиссии при проведении отбора осуществляется на Портале предоставления мер финансовой государственной поддержки государственной интегрированной информационной системы управления общественными финансами "Электронный бюджет" (</w:t>
      </w:r>
      <w:hyperlink w:history="0" r:id="rId22">
        <w:r>
          <w:rPr>
            <w:sz w:val="20"/>
            <w:color w:val="0000ff"/>
          </w:rPr>
          <w:t xml:space="preserve">https://promote.budget.gov.ru</w:t>
        </w:r>
      </w:hyperlink>
      <w:r>
        <w:rPr>
          <w:sz w:val="20"/>
        </w:rPr>
        <w:t xml:space="preserve">, далее - Портал, система "Электронный бюджет").</w:t>
      </w:r>
    </w:p>
    <w:p>
      <w:pPr>
        <w:pStyle w:val="0"/>
        <w:spacing w:before="200" w:lineRule="auto"/>
        <w:ind w:firstLine="540"/>
        <w:jc w:val="both"/>
      </w:pPr>
      <w:r>
        <w:rPr>
          <w:sz w:val="20"/>
        </w:rPr>
        <w:t xml:space="preserve">2.4. В рамках осуществления отбора уполномоченный орган в срок не позднее чем за 60 календарных дней до окончания финансового года, в котором планируется предоставление гранта, и не позднее чем за 30 календарных дней до окончания приема заявок обеспечивает размещение на Портале, а также на официальном сайте уполномоченного органа в информационно-телекоммуникационной сети "Интернет" (далее - официальный сайт уполномоченного органа) объявления о проведении конкурса с указанием следующей информации:</w:t>
      </w:r>
    </w:p>
    <w:p>
      <w:pPr>
        <w:pStyle w:val="0"/>
        <w:jc w:val="both"/>
      </w:pPr>
      <w:r>
        <w:rPr>
          <w:sz w:val="20"/>
        </w:rPr>
        <w:t xml:space="preserve">(в ред. </w:t>
      </w:r>
      <w:hyperlink w:history="0" r:id="rId23" w:tooltip="Постановление Правительства Вологодской области от 13.10.2025 N 1405 &quot;О внесении изменений в постановление Правительства области от 26 мая 2025 года N 783&quot; {КонсультантПлюс}">
        <w:r>
          <w:rPr>
            <w:sz w:val="20"/>
            <w:color w:val="0000ff"/>
          </w:rPr>
          <w:t xml:space="preserve">постановления</w:t>
        </w:r>
      </w:hyperlink>
      <w:r>
        <w:rPr>
          <w:sz w:val="20"/>
        </w:rPr>
        <w:t xml:space="preserve"> Правительства Вологодской области от 13.10.2025 N 1405)</w:t>
      </w:r>
    </w:p>
    <w:p>
      <w:pPr>
        <w:pStyle w:val="0"/>
        <w:spacing w:before="200" w:lineRule="auto"/>
        <w:ind w:firstLine="540"/>
        <w:jc w:val="both"/>
      </w:pPr>
      <w:r>
        <w:rPr>
          <w:sz w:val="20"/>
        </w:rPr>
        <w:t xml:space="preserve">сроки проведения отбора;</w:t>
      </w:r>
    </w:p>
    <w:p>
      <w:pPr>
        <w:pStyle w:val="0"/>
        <w:spacing w:before="200" w:lineRule="auto"/>
        <w:ind w:firstLine="540"/>
        <w:jc w:val="both"/>
      </w:pPr>
      <w:r>
        <w:rPr>
          <w:sz w:val="20"/>
        </w:rPr>
        <w:t xml:space="preserve">дата начала подачи и окончания приема заявок, которая не может быть ранее 30-го календарного дня, следующего за днем размещения объявления о проведении конкурса;</w:t>
      </w:r>
    </w:p>
    <w:p>
      <w:pPr>
        <w:pStyle w:val="0"/>
        <w:spacing w:before="200" w:lineRule="auto"/>
        <w:ind w:firstLine="540"/>
        <w:jc w:val="both"/>
      </w:pPr>
      <w:r>
        <w:rPr>
          <w:sz w:val="20"/>
        </w:rPr>
        <w:t xml:space="preserve">наименование уполномоченного органа, осуществляющего прием заявок с указанием места нахождения, почтового адреса, адреса электронной почты, доменного имени и (или) указателей страниц государственной информационной системы в сети "Интернет";</w:t>
      </w:r>
    </w:p>
    <w:p>
      <w:pPr>
        <w:pStyle w:val="0"/>
        <w:spacing w:before="200" w:lineRule="auto"/>
        <w:ind w:firstLine="540"/>
        <w:jc w:val="both"/>
      </w:pPr>
      <w:r>
        <w:rPr>
          <w:sz w:val="20"/>
        </w:rPr>
        <w:t xml:space="preserve">результат предоставления гранта, характеристику результата предоставления гранта;</w:t>
      </w:r>
    </w:p>
    <w:p>
      <w:pPr>
        <w:pStyle w:val="0"/>
        <w:spacing w:before="200" w:lineRule="auto"/>
        <w:ind w:firstLine="540"/>
        <w:jc w:val="both"/>
      </w:pPr>
      <w:r>
        <w:rPr>
          <w:sz w:val="20"/>
        </w:rPr>
        <w:t xml:space="preserve">доменное имя и (или) указатели страниц государственной информационной системы в сети "Интернет" (</w:t>
      </w:r>
      <w:hyperlink w:history="0" r:id="rId24">
        <w:r>
          <w:rPr>
            <w:sz w:val="20"/>
            <w:color w:val="0000ff"/>
          </w:rPr>
          <w:t xml:space="preserve">https://promote.budget.gov.ru/</w:t>
        </w:r>
      </w:hyperlink>
      <w:r>
        <w:rPr>
          <w:sz w:val="20"/>
        </w:rPr>
        <w:t xml:space="preserve">);</w:t>
      </w:r>
    </w:p>
    <w:p>
      <w:pPr>
        <w:pStyle w:val="0"/>
        <w:spacing w:before="200" w:lineRule="auto"/>
        <w:ind w:firstLine="540"/>
        <w:jc w:val="both"/>
      </w:pPr>
      <w:r>
        <w:rPr>
          <w:sz w:val="20"/>
        </w:rPr>
        <w:t xml:space="preserve">требования к участникам отбора в соответствии с </w:t>
      </w:r>
      <w:hyperlink w:history="0" w:anchor="P54" w:tooltip="2.2. Участник отбора должен соответствовать следующим требованиям:">
        <w:r>
          <w:rPr>
            <w:sz w:val="20"/>
            <w:color w:val="0000ff"/>
          </w:rPr>
          <w:t xml:space="preserve">пунктом 2.2</w:t>
        </w:r>
      </w:hyperlink>
      <w:r>
        <w:rPr>
          <w:sz w:val="20"/>
        </w:rPr>
        <w:t xml:space="preserve"> настоящего Порядка и к перечню документов, представляемых участниками отбора для подтверждения соответствия указанным требованиям;</w:t>
      </w:r>
    </w:p>
    <w:p>
      <w:pPr>
        <w:pStyle w:val="0"/>
        <w:spacing w:before="200" w:lineRule="auto"/>
        <w:ind w:firstLine="540"/>
        <w:jc w:val="both"/>
      </w:pPr>
      <w:r>
        <w:rPr>
          <w:sz w:val="20"/>
        </w:rPr>
        <w:t xml:space="preserve">категории получателей гранта и критерии оценки, показатели критериев оценки;</w:t>
      </w:r>
    </w:p>
    <w:p>
      <w:pPr>
        <w:pStyle w:val="0"/>
        <w:spacing w:before="200" w:lineRule="auto"/>
        <w:ind w:firstLine="540"/>
        <w:jc w:val="both"/>
      </w:pPr>
      <w:r>
        <w:rPr>
          <w:sz w:val="20"/>
        </w:rPr>
        <w:t xml:space="preserve">порядок подачи заявки и требования, предъявляемые к форме и содержанию заявки, подаваемой участником отбора;</w:t>
      </w:r>
    </w:p>
    <w:p>
      <w:pPr>
        <w:pStyle w:val="0"/>
        <w:spacing w:before="200" w:lineRule="auto"/>
        <w:ind w:firstLine="540"/>
        <w:jc w:val="both"/>
      </w:pPr>
      <w:r>
        <w:rPr>
          <w:sz w:val="20"/>
        </w:rPr>
        <w:t xml:space="preserve">порядок отзыва заявки, порядок возврата заявки, в том числе основания для возврата заявки, порядок внесения изменений в заявку;</w:t>
      </w:r>
    </w:p>
    <w:p>
      <w:pPr>
        <w:pStyle w:val="0"/>
        <w:spacing w:before="200" w:lineRule="auto"/>
        <w:ind w:firstLine="540"/>
        <w:jc w:val="both"/>
      </w:pPr>
      <w:r>
        <w:rPr>
          <w:sz w:val="20"/>
        </w:rPr>
        <w:t xml:space="preserve">правила рассмотрения и оценки заявок:</w:t>
      </w:r>
    </w:p>
    <w:p>
      <w:pPr>
        <w:pStyle w:val="0"/>
        <w:spacing w:before="200" w:lineRule="auto"/>
        <w:ind w:firstLine="540"/>
        <w:jc w:val="both"/>
      </w:pPr>
      <w:r>
        <w:rPr>
          <w:sz w:val="20"/>
        </w:rPr>
        <w:t xml:space="preserve">порядок возврата заявки на доработку;</w:t>
      </w:r>
    </w:p>
    <w:p>
      <w:pPr>
        <w:pStyle w:val="0"/>
        <w:spacing w:before="200" w:lineRule="auto"/>
        <w:ind w:firstLine="540"/>
        <w:jc w:val="both"/>
      </w:pPr>
      <w:r>
        <w:rPr>
          <w:sz w:val="20"/>
        </w:rPr>
        <w:t xml:space="preserve">порядок отклонения заявок, а также информация об основаниях их отклонения;</w:t>
      </w:r>
    </w:p>
    <w:p>
      <w:pPr>
        <w:pStyle w:val="0"/>
        <w:spacing w:before="200" w:lineRule="auto"/>
        <w:ind w:firstLine="540"/>
        <w:jc w:val="both"/>
      </w:pPr>
      <w:r>
        <w:rPr>
          <w:sz w:val="20"/>
        </w:rPr>
        <w:t xml:space="preserve">порядок оценки заявок, включающий критерии оценки, показатели критериев оценки, необходимую для представления участником отбора информацию по каждому критерию оценки (сведения, документы и материалы, подтверждающие такую информацию: ссылки на материалы, размещенные на информационной платформе "</w:t>
      </w:r>
      <w:hyperlink w:history="0" r:id="rId25">
        <w:r>
          <w:rPr>
            <w:sz w:val="20"/>
            <w:color w:val="0000ff"/>
          </w:rPr>
          <w:t xml:space="preserve">Добро.рф</w:t>
        </w:r>
      </w:hyperlink>
      <w:r>
        <w:rPr>
          <w:sz w:val="20"/>
        </w:rPr>
        <w:t xml:space="preserve">", ссылки на публикации в социальных сетях, копии документов, фото- и видеоматериалы), сроки оценки заявок, а также информацию об участии или неучастии комиссии в оценке заявок;</w:t>
      </w:r>
    </w:p>
    <w:p>
      <w:pPr>
        <w:pStyle w:val="0"/>
        <w:spacing w:before="200" w:lineRule="auto"/>
        <w:ind w:firstLine="540"/>
        <w:jc w:val="both"/>
      </w:pPr>
      <w:r>
        <w:rPr>
          <w:sz w:val="20"/>
        </w:rPr>
        <w:t xml:space="preserve">объем распределяемого гранта в рамках отбора, порядок расчета размера гранта, установленный настоящим Порядком, правила распределения гранта по результатам отбора, которые могут включать максимальный, минимальный размер гранта, предоставляемой победителям отбора;</w:t>
      </w:r>
    </w:p>
    <w:p>
      <w:pPr>
        <w:pStyle w:val="0"/>
        <w:spacing w:before="200" w:lineRule="auto"/>
        <w:ind w:firstLine="540"/>
        <w:jc w:val="both"/>
      </w:pPr>
      <w:r>
        <w:rPr>
          <w:sz w:val="20"/>
        </w:rPr>
        <w:t xml:space="preserve">порядок предоставления участникам отбора разъяснений положений объявления с указанием даты начала и окончания срока такого предоставления;</w:t>
      </w:r>
    </w:p>
    <w:p>
      <w:pPr>
        <w:pStyle w:val="0"/>
        <w:spacing w:before="200" w:lineRule="auto"/>
        <w:ind w:firstLine="540"/>
        <w:jc w:val="both"/>
      </w:pPr>
      <w:r>
        <w:rPr>
          <w:sz w:val="20"/>
        </w:rPr>
        <w:t xml:space="preserve">срок, в течение которого победитель отбора должен подписать договор о предоставлении гранта;</w:t>
      </w:r>
    </w:p>
    <w:p>
      <w:pPr>
        <w:pStyle w:val="0"/>
        <w:spacing w:before="200" w:lineRule="auto"/>
        <w:ind w:firstLine="540"/>
        <w:jc w:val="both"/>
      </w:pPr>
      <w:r>
        <w:rPr>
          <w:sz w:val="20"/>
        </w:rPr>
        <w:t xml:space="preserve">условия признания победителя отбора уклонившимся от заключения договора о предоставлении гранта;</w:t>
      </w:r>
    </w:p>
    <w:p>
      <w:pPr>
        <w:pStyle w:val="0"/>
        <w:spacing w:before="200" w:lineRule="auto"/>
        <w:ind w:firstLine="540"/>
        <w:jc w:val="both"/>
      </w:pPr>
      <w:r>
        <w:rPr>
          <w:sz w:val="20"/>
        </w:rPr>
        <w:t xml:space="preserve">дату размещения на Портале протокола подведения итогов отбора, которая не может быть позднее 1 рабочего дня, следующего за днем его подписания;</w:t>
      </w:r>
    </w:p>
    <w:p>
      <w:pPr>
        <w:pStyle w:val="0"/>
        <w:spacing w:before="200" w:lineRule="auto"/>
        <w:ind w:firstLine="540"/>
        <w:jc w:val="both"/>
      </w:pPr>
      <w:r>
        <w:rPr>
          <w:sz w:val="20"/>
        </w:rPr>
        <w:t xml:space="preserve">период, в течение которого может быть использован грант.</w:t>
      </w:r>
    </w:p>
    <w:bookmarkStart w:id="86" w:name="P86"/>
    <w:bookmarkEnd w:id="86"/>
    <w:p>
      <w:pPr>
        <w:pStyle w:val="0"/>
        <w:spacing w:before="200" w:lineRule="auto"/>
        <w:ind w:firstLine="540"/>
        <w:jc w:val="both"/>
      </w:pPr>
      <w:r>
        <w:rPr>
          <w:sz w:val="20"/>
        </w:rPr>
        <w:t xml:space="preserve">2.5. Для участия в конкурсном отборе на предоставление гранта участники отбора подают в системе "Электронный бюджет" заявку в электронной форме посредством заполнения соответствующих экранных форм веб-интерфейса с представлением электронных копий документов (документов на бумажном носителе, преобразованных в электронную форму путем сканирования), содержащую:</w:t>
      </w:r>
    </w:p>
    <w:p>
      <w:pPr>
        <w:pStyle w:val="0"/>
        <w:spacing w:before="200" w:lineRule="auto"/>
        <w:ind w:firstLine="540"/>
        <w:jc w:val="both"/>
      </w:pPr>
      <w:hyperlink w:history="0" w:anchor="P381" w:tooltip="ИНФОРМАЦИЯ О ЗАЯВИТЕЛЕ">
        <w:r>
          <w:rPr>
            <w:sz w:val="20"/>
            <w:color w:val="0000ff"/>
          </w:rPr>
          <w:t xml:space="preserve">информацию</w:t>
        </w:r>
      </w:hyperlink>
      <w:r>
        <w:rPr>
          <w:sz w:val="20"/>
        </w:rPr>
        <w:t xml:space="preserve"> для отбора, а также дополнительные сведения по форме согласно </w:t>
      </w:r>
      <w:hyperlink w:history="0" w:anchor="P378" w:tooltip="Приложение 1">
        <w:r>
          <w:rPr>
            <w:sz w:val="20"/>
            <w:color w:val="0000ff"/>
          </w:rPr>
          <w:t xml:space="preserve">приложению 1</w:t>
        </w:r>
      </w:hyperlink>
      <w:r>
        <w:rPr>
          <w:sz w:val="20"/>
        </w:rPr>
        <w:t xml:space="preserve"> к настоящему Порядку;</w:t>
      </w:r>
    </w:p>
    <w:p>
      <w:pPr>
        <w:pStyle w:val="0"/>
        <w:spacing w:before="200" w:lineRule="auto"/>
        <w:ind w:firstLine="540"/>
        <w:jc w:val="both"/>
      </w:pPr>
      <w:r>
        <w:rPr>
          <w:sz w:val="20"/>
        </w:rPr>
        <w:t xml:space="preserve">действующий лицензионный договор (соглашение) с Ассоциацией </w:t>
      </w:r>
      <w:hyperlink w:history="0" r:id="rId26">
        <w:r>
          <w:rPr>
            <w:sz w:val="20"/>
            <w:color w:val="0000ff"/>
          </w:rPr>
          <w:t xml:space="preserve">Добро.рф</w:t>
        </w:r>
      </w:hyperlink>
      <w:r>
        <w:rPr>
          <w:sz w:val="20"/>
        </w:rPr>
        <w:t xml:space="preserve"> на открытие Центра общественного развития "Добро.Центр";</w:t>
      </w:r>
    </w:p>
    <w:p>
      <w:pPr>
        <w:pStyle w:val="0"/>
        <w:spacing w:before="200" w:lineRule="auto"/>
        <w:ind w:firstLine="540"/>
        <w:jc w:val="both"/>
      </w:pPr>
      <w:r>
        <w:rPr>
          <w:sz w:val="20"/>
        </w:rPr>
        <w:t xml:space="preserve">согласие исполнительного органа области, органа местного самоуправления муниципального образования, осуществляющего функции и полномочия учредителя участника отбора - бюджетного или автономного учреждения, за исключением случаев, когда таким органом является уполномоченный орган, на участие этого бюджетного или автономного учреждения в отборе на бланке указанного органа;</w:t>
      </w:r>
    </w:p>
    <w:p>
      <w:pPr>
        <w:pStyle w:val="0"/>
        <w:spacing w:before="200" w:lineRule="auto"/>
        <w:ind w:firstLine="540"/>
        <w:jc w:val="both"/>
      </w:pPr>
      <w:r>
        <w:rPr>
          <w:sz w:val="20"/>
        </w:rPr>
        <w:t xml:space="preserve">документы и материалы, подтверждающие соответствие критериям, установленным в </w:t>
      </w:r>
      <w:hyperlink w:history="0" w:anchor="P194" w:tooltip="3.7. Члены конкурсной комиссии проводят оценку заявки в соответствии с критериями, определенными в таблице.">
        <w:r>
          <w:rPr>
            <w:sz w:val="20"/>
            <w:color w:val="0000ff"/>
          </w:rPr>
          <w:t xml:space="preserve">пункте 3.7 раздела 3</w:t>
        </w:r>
      </w:hyperlink>
      <w:r>
        <w:rPr>
          <w:sz w:val="20"/>
        </w:rPr>
        <w:t xml:space="preserve"> настоящего Порядка (в том числе ссылки на материалы, размещенные на информационной платформе "</w:t>
      </w:r>
      <w:hyperlink w:history="0" r:id="rId27">
        <w:r>
          <w:rPr>
            <w:sz w:val="20"/>
            <w:color w:val="0000ff"/>
          </w:rPr>
          <w:t xml:space="preserve">Добро.рф</w:t>
        </w:r>
      </w:hyperlink>
      <w:r>
        <w:rPr>
          <w:sz w:val="20"/>
        </w:rPr>
        <w:t xml:space="preserve">", ссылки на публикации в социальных сетях, которые представляются в виде файлов в формате pdf, фото- и видеоматериалы и другие документы и (или) материалы), которые представляются в виде файлов в формате pdf;</w:t>
      </w:r>
    </w:p>
    <w:p>
      <w:pPr>
        <w:pStyle w:val="0"/>
        <w:spacing w:before="200" w:lineRule="auto"/>
        <w:ind w:firstLine="540"/>
        <w:jc w:val="both"/>
      </w:pPr>
      <w:r>
        <w:rPr>
          <w:sz w:val="20"/>
        </w:rPr>
        <w:t xml:space="preserve">справку об отсутствии у участника отбора по состоянию на первое число месяца подачи заявки просроченной задолженности по возврату в областной бюджет субсидий, бюджетных инвестиций, предоставленных в том числе в соответствии с иными правовыми актами, а также иная просроченная (неурегулированная) задолженность по денежным обязательствам перед Вологодской областью по рекомендуемому образцу, установленному Министерством финансов области.</w:t>
      </w:r>
    </w:p>
    <w:p>
      <w:pPr>
        <w:pStyle w:val="0"/>
        <w:spacing w:before="200" w:lineRule="auto"/>
        <w:ind w:firstLine="540"/>
        <w:jc w:val="both"/>
      </w:pPr>
      <w:r>
        <w:rPr>
          <w:sz w:val="20"/>
        </w:rPr>
        <w:t xml:space="preserve">Заявка подписывается усиленной квалифицированной электронной подписью участника отбора или уполномоченного им лица.</w:t>
      </w:r>
    </w:p>
    <w:p>
      <w:pPr>
        <w:pStyle w:val="0"/>
        <w:spacing w:before="200" w:lineRule="auto"/>
        <w:ind w:firstLine="540"/>
        <w:jc w:val="both"/>
      </w:pPr>
      <w:r>
        <w:rPr>
          <w:sz w:val="20"/>
        </w:rPr>
        <w:t xml:space="preserve">Датой представления заявки считается день подписания заявителем заявки с присвоением ей регистрационного номера на Портале.</w:t>
      </w:r>
    </w:p>
    <w:p>
      <w:pPr>
        <w:pStyle w:val="0"/>
        <w:spacing w:before="200" w:lineRule="auto"/>
        <w:ind w:firstLine="540"/>
        <w:jc w:val="both"/>
      </w:pPr>
      <w:r>
        <w:rPr>
          <w:sz w:val="20"/>
        </w:rPr>
        <w:t xml:space="preserve">Уполномоченный орган в течение трех календарных дней со дня окончания приема заявок на участие в отборе в соответствии со сведениями, содержащимися в системе "Электронный бюджет", с учетом хронологии подачи заявок выгружает электронный реестр зарегистрированных заявок.</w:t>
      </w:r>
    </w:p>
    <w:p>
      <w:pPr>
        <w:pStyle w:val="0"/>
        <w:spacing w:before="200" w:lineRule="auto"/>
        <w:ind w:firstLine="540"/>
        <w:jc w:val="both"/>
      </w:pPr>
      <w:r>
        <w:rPr>
          <w:sz w:val="20"/>
        </w:rPr>
        <w:t xml:space="preserve">2.6. Уполномоченному органу запрещено требовать от участника отбора представления документов и информации в целях подтверждения соответствия участника отбора требованиям, определенным </w:t>
      </w:r>
      <w:hyperlink w:history="0" w:anchor="P54" w:tooltip="2.2. Участник отбора должен соответствовать следующим требованиям:">
        <w:r>
          <w:rPr>
            <w:sz w:val="20"/>
            <w:color w:val="0000ff"/>
          </w:rPr>
          <w:t xml:space="preserve">пунктом 2.2 раздела 2</w:t>
        </w:r>
      </w:hyperlink>
      <w:r>
        <w:rPr>
          <w:sz w:val="20"/>
        </w:rPr>
        <w:t xml:space="preserve"> настоящего Порядка, при наличии соответствующей информации в государственных информационных системах, доступ к которым у уполномоченного органа имеется в рамках межведомственного электронного взаимодействия, за исключением случая, если участник отбора готов представить указанные документы и информацию уполномоченному органу по собственной инициативе.</w:t>
      </w:r>
    </w:p>
    <w:p>
      <w:pPr>
        <w:pStyle w:val="0"/>
        <w:spacing w:before="200" w:lineRule="auto"/>
        <w:ind w:firstLine="540"/>
        <w:jc w:val="both"/>
      </w:pPr>
      <w:r>
        <w:rPr>
          <w:sz w:val="20"/>
        </w:rPr>
        <w:t xml:space="preserve">2.7. Уполномоченный орган вправе внести изменения в объявление о проведении отбора не позднее наступления даты окончания приема заявок участников отбора с соблюдением следующих условий:</w:t>
      </w:r>
    </w:p>
    <w:p>
      <w:pPr>
        <w:pStyle w:val="0"/>
        <w:spacing w:before="200" w:lineRule="auto"/>
        <w:ind w:firstLine="540"/>
        <w:jc w:val="both"/>
      </w:pPr>
      <w:r>
        <w:rPr>
          <w:sz w:val="20"/>
        </w:rPr>
        <w:t xml:space="preserve">срок подачи участниками отбора заявок должен быть продлен таким образом, чтобы со дня, следующего за днем внесения таких изменений, до даты окончания приема заявок указанный срок составлял не менее 10 календарных дней;</w:t>
      </w:r>
    </w:p>
    <w:p>
      <w:pPr>
        <w:pStyle w:val="0"/>
        <w:spacing w:before="200" w:lineRule="auto"/>
        <w:ind w:firstLine="540"/>
        <w:jc w:val="both"/>
      </w:pPr>
      <w:r>
        <w:rPr>
          <w:sz w:val="20"/>
        </w:rPr>
        <w:t xml:space="preserve">при внесении изменений в объявление о проведении отбора изменение способа отбора не допускается;</w:t>
      </w:r>
    </w:p>
    <w:p>
      <w:pPr>
        <w:pStyle w:val="0"/>
        <w:spacing w:before="200" w:lineRule="auto"/>
        <w:ind w:firstLine="540"/>
        <w:jc w:val="both"/>
      </w:pPr>
      <w:r>
        <w:rPr>
          <w:sz w:val="20"/>
        </w:rPr>
        <w:t xml:space="preserve">в случае внесения изменений в объявление о проведении отбора после наступления даты начала приема заявок в объявление о проведении отбора включается положение, предусматривающее право участников отбора внести изменения в заявки;</w:t>
      </w:r>
    </w:p>
    <w:p>
      <w:pPr>
        <w:pStyle w:val="0"/>
        <w:spacing w:before="200" w:lineRule="auto"/>
        <w:ind w:firstLine="540"/>
        <w:jc w:val="both"/>
      </w:pPr>
      <w:r>
        <w:rPr>
          <w:sz w:val="20"/>
        </w:rPr>
        <w:t xml:space="preserve">участники отбора, подавшие заявку, уведомляются о внесении изменений в объявление о проведении отбора не позднее дня, следующего за днем внесения изменений в объявление о проведении отбора, с использованием системы "Электронный бюджет".</w:t>
      </w:r>
    </w:p>
    <w:p>
      <w:pPr>
        <w:pStyle w:val="0"/>
        <w:spacing w:before="200" w:lineRule="auto"/>
        <w:ind w:firstLine="540"/>
        <w:jc w:val="both"/>
      </w:pPr>
      <w:r>
        <w:rPr>
          <w:sz w:val="20"/>
        </w:rPr>
        <w:t xml:space="preserve">2.8. В период приема заявок, указанный в объявлении о проведении отбора, уполномоченный орган предоставляет разъяснения положений объявления о проведении отбора путем проведения консультаций и направления информационных сообщений.</w:t>
      </w:r>
    </w:p>
    <w:p>
      <w:pPr>
        <w:pStyle w:val="0"/>
        <w:spacing w:before="200" w:lineRule="auto"/>
        <w:ind w:firstLine="540"/>
        <w:jc w:val="both"/>
      </w:pPr>
      <w:r>
        <w:rPr>
          <w:sz w:val="20"/>
        </w:rPr>
        <w:t xml:space="preserve">2.9. Участник отбора в рамках проведения отбора вправе подать только одну заявку.</w:t>
      </w:r>
    </w:p>
    <w:p>
      <w:pPr>
        <w:pStyle w:val="0"/>
        <w:spacing w:before="200" w:lineRule="auto"/>
        <w:ind w:firstLine="540"/>
        <w:jc w:val="both"/>
      </w:pPr>
      <w:r>
        <w:rPr>
          <w:sz w:val="20"/>
        </w:rPr>
        <w:t xml:space="preserve">2.10. Расходы участника отбора, связанные с подготовкой и подачей заявки, не возмещаются.</w:t>
      </w:r>
    </w:p>
    <w:p>
      <w:pPr>
        <w:pStyle w:val="0"/>
        <w:spacing w:before="200" w:lineRule="auto"/>
        <w:ind w:firstLine="540"/>
        <w:jc w:val="both"/>
      </w:pPr>
      <w:r>
        <w:rPr>
          <w:sz w:val="20"/>
        </w:rPr>
        <w:t xml:space="preserve">2.11. Участник отбора вправе в любое время до окончания отбора отозвать заявку путем формирования на Портале в электронной форме уведомления об отзыве заявки, на основании которого уполномоченный орган прекращает рассмотрение заявки. Уведомление об отзыве заявки подписывается усиленной квалифицированной электронной подписью заявителя или уполномоченного им лица.</w:t>
      </w:r>
    </w:p>
    <w:p>
      <w:pPr>
        <w:pStyle w:val="0"/>
        <w:spacing w:before="200" w:lineRule="auto"/>
        <w:ind w:firstLine="540"/>
        <w:jc w:val="both"/>
      </w:pPr>
      <w:r>
        <w:rPr>
          <w:sz w:val="20"/>
        </w:rPr>
        <w:t xml:space="preserve">Возврат заявки осуществляется автоматически после подписания заявителем уведомления об отзыве заявки.</w:t>
      </w:r>
    </w:p>
    <w:p>
      <w:pPr>
        <w:pStyle w:val="0"/>
        <w:spacing w:before="200" w:lineRule="auto"/>
        <w:ind w:firstLine="540"/>
        <w:jc w:val="both"/>
      </w:pPr>
      <w:r>
        <w:rPr>
          <w:sz w:val="20"/>
        </w:rPr>
        <w:t xml:space="preserve">Внесение изменений в заявку допускается путем отзыва ранее направленной заявки и направления новой в сроки приема заявок. Датой подачи заявки в случае внесения в нее изменений будет считаться день подписания заявителем новой заявки с присвоением ей регистрационного номера на Портале.</w:t>
      </w:r>
    </w:p>
    <w:bookmarkStart w:id="107" w:name="P107"/>
    <w:bookmarkEnd w:id="107"/>
    <w:p>
      <w:pPr>
        <w:pStyle w:val="0"/>
        <w:spacing w:before="200" w:lineRule="auto"/>
        <w:ind w:firstLine="540"/>
        <w:jc w:val="both"/>
      </w:pPr>
      <w:r>
        <w:rPr>
          <w:sz w:val="20"/>
        </w:rPr>
        <w:t xml:space="preserve">2.12. После истечения срока отбора прием заявок не осуществляется, внесение изменений в поданную заявку не допускается.</w:t>
      </w:r>
    </w:p>
    <w:bookmarkStart w:id="108" w:name="P108"/>
    <w:bookmarkEnd w:id="108"/>
    <w:p>
      <w:pPr>
        <w:pStyle w:val="0"/>
        <w:spacing w:before="200" w:lineRule="auto"/>
        <w:ind w:firstLine="540"/>
        <w:jc w:val="both"/>
      </w:pPr>
      <w:r>
        <w:rPr>
          <w:sz w:val="20"/>
        </w:rPr>
        <w:t xml:space="preserve">2.13. Доступ уполномоченному органу в системе "Электронный бюджет" к заявкам для их рассмотрения открывается с даты начала приема заявок.</w:t>
      </w:r>
    </w:p>
    <w:p>
      <w:pPr>
        <w:pStyle w:val="0"/>
        <w:spacing w:before="200" w:lineRule="auto"/>
        <w:ind w:firstLine="540"/>
        <w:jc w:val="both"/>
      </w:pPr>
      <w:r>
        <w:rPr>
          <w:sz w:val="20"/>
        </w:rPr>
        <w:t xml:space="preserve">Уполномоченный орган обеспечивает формирование, подписание и размещение протокола вскрытия заявок не позднее 5 рабочих дней со дня истечения срока приема заявок.</w:t>
      </w:r>
    </w:p>
    <w:p>
      <w:pPr>
        <w:pStyle w:val="0"/>
        <w:spacing w:before="200" w:lineRule="auto"/>
        <w:ind w:firstLine="540"/>
        <w:jc w:val="both"/>
      </w:pPr>
      <w:r>
        <w:rPr>
          <w:sz w:val="20"/>
        </w:rPr>
        <w:t xml:space="preserve">Протокол вскрытия заявок автоматически формируется на едином портале и подписывается усиленной квалифицированной электронной подписью руководителя уполномоченного органа (уполномоченного им лица) в системе "Электронный бюджет", а также размещается на едином портале не позднее 1-го рабочего дня, следующего за днем его подписания.</w:t>
      </w:r>
    </w:p>
    <w:p>
      <w:pPr>
        <w:pStyle w:val="0"/>
        <w:spacing w:before="200" w:lineRule="auto"/>
        <w:ind w:firstLine="540"/>
        <w:jc w:val="both"/>
      </w:pPr>
      <w:r>
        <w:rPr>
          <w:sz w:val="20"/>
        </w:rPr>
        <w:t xml:space="preserve">2.14. Уполномоченный орган в течение 10 рабочих дней со дня окончания срока приема заявок на участие в отборе рассматривает поданные заявки:</w:t>
      </w:r>
    </w:p>
    <w:p>
      <w:pPr>
        <w:pStyle w:val="0"/>
        <w:spacing w:before="200" w:lineRule="auto"/>
        <w:ind w:firstLine="540"/>
        <w:jc w:val="both"/>
      </w:pPr>
      <w:r>
        <w:rPr>
          <w:sz w:val="20"/>
        </w:rPr>
        <w:t xml:space="preserve">на предмет соответствия участника отбора требованиям, установленным </w:t>
      </w:r>
      <w:hyperlink w:history="0" w:anchor="P53" w:tooltip="2.1. Грант предоставляется юридическим лицам (за исключением организаций, являющихся казенными учреждениями), получившим социальную франшизу путем заключения лицензионного договора (соглашения) с Ассоциацией Добро.рф на открытие Центра общественного развития &quot;Добро.Центр&quot;, осуществляющим деятельность на территории Вологодской области, на цели, указанные в пункте 1.2 настоящего Порядка.">
        <w:r>
          <w:rPr>
            <w:sz w:val="20"/>
            <w:color w:val="0000ff"/>
          </w:rPr>
          <w:t xml:space="preserve">пунктами 2.1</w:t>
        </w:r>
      </w:hyperlink>
      <w:r>
        <w:rPr>
          <w:sz w:val="20"/>
        </w:rPr>
        <w:t xml:space="preserve">, </w:t>
      </w:r>
      <w:hyperlink w:history="0" w:anchor="P54" w:tooltip="2.2. Участник отбора должен соответствовать следующим требованиям:">
        <w:r>
          <w:rPr>
            <w:sz w:val="20"/>
            <w:color w:val="0000ff"/>
          </w:rPr>
          <w:t xml:space="preserve">2.2</w:t>
        </w:r>
      </w:hyperlink>
      <w:r>
        <w:rPr>
          <w:sz w:val="20"/>
        </w:rPr>
        <w:t xml:space="preserve"> настоящего Порядка;</w:t>
      </w:r>
    </w:p>
    <w:p>
      <w:pPr>
        <w:pStyle w:val="0"/>
        <w:spacing w:before="200" w:lineRule="auto"/>
        <w:ind w:firstLine="540"/>
        <w:jc w:val="both"/>
      </w:pPr>
      <w:r>
        <w:rPr>
          <w:sz w:val="20"/>
        </w:rPr>
        <w:t xml:space="preserve">на предмет соответствия представленного пакета документов требованиям </w:t>
      </w:r>
      <w:hyperlink w:history="0" w:anchor="P86" w:tooltip="2.5. Для участия в конкурсном отборе на предоставление гранта участники отбора подают в системе &quot;Электронный бюджет&quot; заявку в электронной форме посредством заполнения соответствующих экранных форм веб-интерфейса с представлением электронных копий документов (документов на бумажном носителе, преобразованных в электронную форму путем сканирования), содержащую:">
        <w:r>
          <w:rPr>
            <w:sz w:val="20"/>
            <w:color w:val="0000ff"/>
          </w:rPr>
          <w:t xml:space="preserve">пункта 2.5</w:t>
        </w:r>
      </w:hyperlink>
      <w:r>
        <w:rPr>
          <w:sz w:val="20"/>
        </w:rPr>
        <w:t xml:space="preserve"> настоящего Порядка;</w:t>
      </w:r>
    </w:p>
    <w:p>
      <w:pPr>
        <w:pStyle w:val="0"/>
        <w:jc w:val="both"/>
      </w:pPr>
      <w:r>
        <w:rPr>
          <w:sz w:val="20"/>
        </w:rPr>
        <w:t xml:space="preserve">(в ред. </w:t>
      </w:r>
      <w:hyperlink w:history="0" r:id="rId28" w:tooltip="Постановление Правительства Вологодской области от 13.10.2025 N 1405 &quot;О внесении изменений в постановление Правительства области от 26 мая 2025 года N 783&quot; {КонсультантПлюс}">
        <w:r>
          <w:rPr>
            <w:sz w:val="20"/>
            <w:color w:val="0000ff"/>
          </w:rPr>
          <w:t xml:space="preserve">постановления</w:t>
        </w:r>
      </w:hyperlink>
      <w:r>
        <w:rPr>
          <w:sz w:val="20"/>
        </w:rPr>
        <w:t xml:space="preserve"> Правительства Вологодской области от 13.10.2025 N 1405)</w:t>
      </w:r>
    </w:p>
    <w:p>
      <w:pPr>
        <w:pStyle w:val="0"/>
        <w:spacing w:before="200" w:lineRule="auto"/>
        <w:ind w:firstLine="540"/>
        <w:jc w:val="both"/>
      </w:pPr>
      <w:r>
        <w:rPr>
          <w:sz w:val="20"/>
        </w:rPr>
        <w:t xml:space="preserve">на предмет соответствия перечня затрат, включенного в информацию для отбора, представленную в составе заявки, требованиям </w:t>
      </w:r>
      <w:hyperlink w:history="0" w:anchor="P39" w:tooltip="1.2. Грант предоставляется в целях развития и поддержки добровольчества (волонтерства) на территории Вологодской области путем поддержки центров общественного развития &quot;Добро.Центр&quot; (далее также - Добро.Центр) на территории Вологодской области.">
        <w:r>
          <w:rPr>
            <w:sz w:val="20"/>
            <w:color w:val="0000ff"/>
          </w:rPr>
          <w:t xml:space="preserve">пункта 1.2</w:t>
        </w:r>
      </w:hyperlink>
      <w:r>
        <w:rPr>
          <w:sz w:val="20"/>
        </w:rPr>
        <w:t xml:space="preserve"> настоящего Порядка;</w:t>
      </w:r>
    </w:p>
    <w:p>
      <w:pPr>
        <w:pStyle w:val="0"/>
        <w:spacing w:before="200" w:lineRule="auto"/>
        <w:ind w:firstLine="540"/>
        <w:jc w:val="both"/>
      </w:pPr>
      <w:r>
        <w:rPr>
          <w:sz w:val="20"/>
        </w:rPr>
        <w:t xml:space="preserve">на предмет достоверности представленных сведений (информации).</w:t>
      </w:r>
    </w:p>
    <w:p>
      <w:pPr>
        <w:pStyle w:val="0"/>
        <w:spacing w:before="200" w:lineRule="auto"/>
        <w:ind w:firstLine="540"/>
        <w:jc w:val="both"/>
      </w:pPr>
      <w:r>
        <w:rPr>
          <w:sz w:val="20"/>
        </w:rPr>
        <w:t xml:space="preserve">Проверка участника отбора на соответствие требованиям, определенным </w:t>
      </w:r>
      <w:hyperlink w:history="0" w:anchor="P55" w:tooltip="2.2.1. по состоянию на даты рассмотрения заявки на участие в отборе (далее - заявка) и заключения соглашения о предоставлении гранта:">
        <w:r>
          <w:rPr>
            <w:sz w:val="20"/>
            <w:color w:val="0000ff"/>
          </w:rPr>
          <w:t xml:space="preserve">подпунктом 2.2.1 пункта 2.2</w:t>
        </w:r>
      </w:hyperlink>
      <w:r>
        <w:rPr>
          <w:sz w:val="20"/>
        </w:rPr>
        <w:t xml:space="preserve"> настоящего Порядка, при наличии технической возможности осуществляется автоматически в системе "Электронный бюджет" на основании данных государственных информационных систем, в том числе с использованием единой системы межведомственного электронного взаимодействия.</w:t>
      </w:r>
    </w:p>
    <w:p>
      <w:pPr>
        <w:pStyle w:val="0"/>
        <w:spacing w:before="200" w:lineRule="auto"/>
        <w:ind w:firstLine="540"/>
        <w:jc w:val="both"/>
      </w:pPr>
      <w:r>
        <w:rPr>
          <w:sz w:val="20"/>
        </w:rPr>
        <w:t xml:space="preserve">В случае отсутствия технической возможности осуществления проверки в системе "Электронный бюджет" подтверждение соответствия участника отбора требованиям, определенным </w:t>
      </w:r>
      <w:hyperlink w:history="0" w:anchor="P55" w:tooltip="2.2.1. по состоянию на даты рассмотрения заявки на участие в отборе (далее - заявка) и заключения соглашения о предоставлении гранта:">
        <w:r>
          <w:rPr>
            <w:sz w:val="20"/>
            <w:color w:val="0000ff"/>
          </w:rPr>
          <w:t xml:space="preserve">подпунктом 2.2.1 пункта 2.2</w:t>
        </w:r>
      </w:hyperlink>
      <w:r>
        <w:rPr>
          <w:sz w:val="20"/>
        </w:rPr>
        <w:t xml:space="preserve"> настоящего Порядка, путем проставления участником отбора в электронном виде отметок о соответствии указанным требованиям посредством заполнения соответствующих экранных форм веб-интерфейса системы "Электронный бюджет".</w:t>
      </w:r>
    </w:p>
    <w:p>
      <w:pPr>
        <w:pStyle w:val="0"/>
        <w:spacing w:before="200" w:lineRule="auto"/>
        <w:ind w:firstLine="540"/>
        <w:jc w:val="both"/>
      </w:pPr>
      <w:r>
        <w:rPr>
          <w:sz w:val="20"/>
        </w:rPr>
        <w:t xml:space="preserve">В случае отсутствия технической возможности осуществления проверки в системе "Электронный бюджет" уполномоченный орган осуществляет проверку путем анализа сведений, содержащихся в документах, подтверждения данных сведений путем сверки с информацией, имеющейся в распоряжении уполномоченного органа, направления запросов в иные органы государственной власти, в распоряжении которых находятся необходимые сведения.</w:t>
      </w:r>
    </w:p>
    <w:p>
      <w:pPr>
        <w:pStyle w:val="0"/>
        <w:spacing w:before="200" w:lineRule="auto"/>
        <w:ind w:firstLine="540"/>
        <w:jc w:val="both"/>
      </w:pPr>
      <w:r>
        <w:rPr>
          <w:sz w:val="20"/>
        </w:rPr>
        <w:t xml:space="preserve">Информация об отсутствии у участника отбора просроченной задолженности по возврату в областной бюджет иных субсидий, бюджетных инвестиций, предоставленных в том числе в соответствии с иными правовыми актами, а также иной просроченной (неурегулированной) задолженности по денежным обязательствам перед Вологодской областью по состоянию на первое число месяца подачи заявки проверяется уполномоченным органом путем направления запросов в ГКУ ВО "Областное казначейство". Уполномоченный орган не позднее 2 рабочих дней с даты окончания приема заявок направляет запрос о наличии (отсутствии) у участников отбора просроченной задолженности по возврату в областной бюджет субсидий, бюджетных инвестиций, предоставленных в том числе в соответствии с иными правовыми актами, а также иной просроченной (неурегулированной) задолженности по денежным обязательствам перед Вологодской областью (далее - запрос) в ГКУ ВО "Областное казначейство". ГКУ ВО "Областное казначейство" не позднее 5 рабочих дней со дня поступления запроса предоставляет соответствующую информацию.</w:t>
      </w:r>
    </w:p>
    <w:p>
      <w:pPr>
        <w:pStyle w:val="0"/>
        <w:spacing w:before="200" w:lineRule="auto"/>
        <w:ind w:firstLine="540"/>
        <w:jc w:val="both"/>
      </w:pPr>
      <w:r>
        <w:rPr>
          <w:sz w:val="20"/>
        </w:rPr>
        <w:t xml:space="preserve">Основаниями для отклонения заявки на участие в отборе являются:</w:t>
      </w:r>
    </w:p>
    <w:p>
      <w:pPr>
        <w:pStyle w:val="0"/>
        <w:spacing w:before="200" w:lineRule="auto"/>
        <w:ind w:firstLine="540"/>
        <w:jc w:val="both"/>
      </w:pPr>
      <w:r>
        <w:rPr>
          <w:sz w:val="20"/>
        </w:rPr>
        <w:t xml:space="preserve">несоответствие участника отбора требованиям, установленным </w:t>
      </w:r>
      <w:hyperlink w:history="0" w:anchor="P53" w:tooltip="2.1. Грант предоставляется юридическим лицам (за исключением организаций, являющихся казенными учреждениями), получившим социальную франшизу путем заключения лицензионного договора (соглашения) с Ассоциацией Добро.рф на открытие Центра общественного развития &quot;Добро.Центр&quot;, осуществляющим деятельность на территории Вологодской области, на цели, указанные в пункте 1.2 настоящего Порядка.">
        <w:r>
          <w:rPr>
            <w:sz w:val="20"/>
            <w:color w:val="0000ff"/>
          </w:rPr>
          <w:t xml:space="preserve">пунктами 2.1</w:t>
        </w:r>
      </w:hyperlink>
      <w:r>
        <w:rPr>
          <w:sz w:val="20"/>
        </w:rPr>
        <w:t xml:space="preserve">, </w:t>
      </w:r>
      <w:hyperlink w:history="0" w:anchor="P54" w:tooltip="2.2. Участник отбора должен соответствовать следующим требованиям:">
        <w:r>
          <w:rPr>
            <w:sz w:val="20"/>
            <w:color w:val="0000ff"/>
          </w:rPr>
          <w:t xml:space="preserve">2.2</w:t>
        </w:r>
      </w:hyperlink>
      <w:r>
        <w:rPr>
          <w:sz w:val="20"/>
        </w:rPr>
        <w:t xml:space="preserve"> настоящего Порядка;</w:t>
      </w:r>
    </w:p>
    <w:p>
      <w:pPr>
        <w:pStyle w:val="0"/>
        <w:spacing w:before="200" w:lineRule="auto"/>
        <w:ind w:firstLine="540"/>
        <w:jc w:val="both"/>
      </w:pPr>
      <w:r>
        <w:rPr>
          <w:sz w:val="20"/>
        </w:rPr>
        <w:t xml:space="preserve">несоответствие представленной участником отбора заявки требованиям (в том числе непредставление (представление в неполном объеме) документов), установленным </w:t>
      </w:r>
      <w:hyperlink w:history="0" w:anchor="P86" w:tooltip="2.5. Для участия в конкурсном отборе на предоставление гранта участники отбора подают в системе &quot;Электронный бюджет&quot; заявку в электронной форме посредством заполнения соответствующих экранных форм веб-интерфейса с представлением электронных копий документов (документов на бумажном носителе, преобразованных в электронную форму путем сканирования), содержащую:">
        <w:r>
          <w:rPr>
            <w:sz w:val="20"/>
            <w:color w:val="0000ff"/>
          </w:rPr>
          <w:t xml:space="preserve">пунктом 2.5</w:t>
        </w:r>
      </w:hyperlink>
      <w:r>
        <w:rPr>
          <w:sz w:val="20"/>
        </w:rPr>
        <w:t xml:space="preserve"> настоящего Порядка;</w:t>
      </w:r>
    </w:p>
    <w:p>
      <w:pPr>
        <w:pStyle w:val="0"/>
        <w:jc w:val="both"/>
      </w:pPr>
      <w:r>
        <w:rPr>
          <w:sz w:val="20"/>
        </w:rPr>
        <w:t xml:space="preserve">(в ред. </w:t>
      </w:r>
      <w:hyperlink w:history="0" r:id="rId29" w:tooltip="Постановление Правительства Вологодской области от 13.10.2025 N 1405 &quot;О внесении изменений в постановление Правительства области от 26 мая 2025 года N 783&quot; {КонсультантПлюс}">
        <w:r>
          <w:rPr>
            <w:sz w:val="20"/>
            <w:color w:val="0000ff"/>
          </w:rPr>
          <w:t xml:space="preserve">постановления</w:t>
        </w:r>
      </w:hyperlink>
      <w:r>
        <w:rPr>
          <w:sz w:val="20"/>
        </w:rPr>
        <w:t xml:space="preserve"> Правительства Вологодской области от 13.10.2025 N 1405)</w:t>
      </w:r>
    </w:p>
    <w:p>
      <w:pPr>
        <w:pStyle w:val="0"/>
        <w:spacing w:before="200" w:lineRule="auto"/>
        <w:ind w:firstLine="540"/>
        <w:jc w:val="both"/>
      </w:pPr>
      <w:r>
        <w:rPr>
          <w:sz w:val="20"/>
        </w:rPr>
        <w:t xml:space="preserve">несоответствие перечня затрат требованиям </w:t>
      </w:r>
      <w:hyperlink w:history="0" w:anchor="P39" w:tooltip="1.2. Грант предоставляется в целях развития и поддержки добровольчества (волонтерства) на территории Вологодской области путем поддержки центров общественного развития &quot;Добро.Центр&quot; (далее также - Добро.Центр) на территории Вологодской области.">
        <w:r>
          <w:rPr>
            <w:sz w:val="20"/>
            <w:color w:val="0000ff"/>
          </w:rPr>
          <w:t xml:space="preserve">пункта 1.2</w:t>
        </w:r>
      </w:hyperlink>
      <w:r>
        <w:rPr>
          <w:sz w:val="20"/>
        </w:rPr>
        <w:t xml:space="preserve"> настоящего Порядка;</w:t>
      </w:r>
    </w:p>
    <w:p>
      <w:pPr>
        <w:pStyle w:val="0"/>
        <w:spacing w:before="200" w:lineRule="auto"/>
        <w:ind w:firstLine="540"/>
        <w:jc w:val="both"/>
      </w:pPr>
      <w:r>
        <w:rPr>
          <w:sz w:val="20"/>
        </w:rPr>
        <w:t xml:space="preserve">подача заявки на участие в отборе после даты и (или) времени, определенных для подачи заявок;</w:t>
      </w:r>
    </w:p>
    <w:p>
      <w:pPr>
        <w:pStyle w:val="0"/>
        <w:spacing w:before="200" w:lineRule="auto"/>
        <w:ind w:firstLine="540"/>
        <w:jc w:val="both"/>
      </w:pPr>
      <w:r>
        <w:rPr>
          <w:sz w:val="20"/>
        </w:rPr>
        <w:t xml:space="preserve">недостоверность представленной участником отбора информации.</w:t>
      </w:r>
    </w:p>
    <w:p>
      <w:pPr>
        <w:pStyle w:val="0"/>
        <w:spacing w:before="200" w:lineRule="auto"/>
        <w:ind w:firstLine="540"/>
        <w:jc w:val="both"/>
      </w:pPr>
      <w:r>
        <w:rPr>
          <w:sz w:val="20"/>
        </w:rPr>
        <w:t xml:space="preserve">2.15. Заявки, которые не были отклонены, допускаются к участию в отборе.</w:t>
      </w:r>
    </w:p>
    <w:p>
      <w:pPr>
        <w:pStyle w:val="0"/>
        <w:spacing w:before="200" w:lineRule="auto"/>
        <w:ind w:firstLine="540"/>
        <w:jc w:val="both"/>
      </w:pPr>
      <w:r>
        <w:rPr>
          <w:sz w:val="20"/>
        </w:rPr>
        <w:t xml:space="preserve">2.16. Отбор проводится в соответствии с требованиями, установленными </w:t>
      </w:r>
      <w:hyperlink w:history="0" w:anchor="P180" w:tooltip="3. Порядок проведения отбора">
        <w:r>
          <w:rPr>
            <w:sz w:val="20"/>
            <w:color w:val="0000ff"/>
          </w:rPr>
          <w:t xml:space="preserve">разделом 3</w:t>
        </w:r>
      </w:hyperlink>
      <w:r>
        <w:rPr>
          <w:sz w:val="20"/>
        </w:rPr>
        <w:t xml:space="preserve"> настоящего Порядка, с участием конкурсной комиссии.</w:t>
      </w:r>
    </w:p>
    <w:p>
      <w:pPr>
        <w:pStyle w:val="0"/>
        <w:spacing w:before="200" w:lineRule="auto"/>
        <w:ind w:firstLine="540"/>
        <w:jc w:val="both"/>
      </w:pPr>
      <w:r>
        <w:rPr>
          <w:sz w:val="20"/>
        </w:rPr>
        <w:t xml:space="preserve">2.17. Определение победителей отбора, а также размеров предоставляемых грантов осуществляется правовым актом уполномоченного органа о предоставлении грантов.</w:t>
      </w:r>
    </w:p>
    <w:p>
      <w:pPr>
        <w:pStyle w:val="0"/>
        <w:spacing w:before="200" w:lineRule="auto"/>
        <w:ind w:firstLine="540"/>
        <w:jc w:val="both"/>
      </w:pPr>
      <w:r>
        <w:rPr>
          <w:sz w:val="20"/>
        </w:rPr>
        <w:t xml:space="preserve">2.18. Уполномоченный орган в течение 10 рабочих дней после получения протокола заседания конкурсной комиссии, а также с учетом распределения остатка бюджетных ассигнований в соответствии с </w:t>
      </w:r>
      <w:hyperlink w:history="0" w:anchor="P308" w:tooltip="3.10. При образовании остатка бюджетных ассигнований, предусмотренных на предоставление грантов (далее - остаток), размер которого меньше, чем запрашиваемый следующим в рейтинге участником отбора размер гранта (но не менее чем 50% от запрашиваемого объема гранта), конкурсная комиссия предлагает уполномоченному органу предоставить данному участнику отбора грант в размере остатка с возможностью корректировки перечня затрат, содержащегося в описании представленного пакета документов, что отражается в проток...">
        <w:r>
          <w:rPr>
            <w:sz w:val="20"/>
            <w:color w:val="0000ff"/>
          </w:rPr>
          <w:t xml:space="preserve">пунктом 3.10</w:t>
        </w:r>
      </w:hyperlink>
      <w:r>
        <w:rPr>
          <w:sz w:val="20"/>
        </w:rPr>
        <w:t xml:space="preserve"> настоящего Порядка обеспечивает принятие правового акта о предоставлении грантов.</w:t>
      </w:r>
    </w:p>
    <w:p>
      <w:pPr>
        <w:pStyle w:val="0"/>
        <w:spacing w:before="200" w:lineRule="auto"/>
        <w:ind w:firstLine="540"/>
        <w:jc w:val="both"/>
      </w:pPr>
      <w:r>
        <w:rPr>
          <w:sz w:val="20"/>
        </w:rPr>
        <w:t xml:space="preserve">2.19. Предоставление гранта осуществляется на основании договора о предоставлении гранта (далее - договор), заключаемого между уполномоченным органом и победителем отбора в соответствии с типовой формой, установленной Министерством финансов области, в системе "Электронный бюджет".</w:t>
      </w:r>
    </w:p>
    <w:p>
      <w:pPr>
        <w:pStyle w:val="0"/>
        <w:spacing w:before="200" w:lineRule="auto"/>
        <w:ind w:firstLine="540"/>
        <w:jc w:val="both"/>
      </w:pPr>
      <w:r>
        <w:rPr>
          <w:sz w:val="20"/>
        </w:rPr>
        <w:t xml:space="preserve">Договор должен содержать условие о том, что в случае уменьшения уполномоченному органу ранее доведенных лимитов бюджетных обязательств, приводящего к невозможности предоставления гранта в размере, определенном в договоре, стороны согласовывают новые условия договора или расторгают договор при недостижении согласия по новым условиям.</w:t>
      </w:r>
    </w:p>
    <w:p>
      <w:pPr>
        <w:pStyle w:val="0"/>
        <w:spacing w:before="200" w:lineRule="auto"/>
        <w:ind w:firstLine="540"/>
        <w:jc w:val="both"/>
      </w:pPr>
      <w:r>
        <w:rPr>
          <w:sz w:val="20"/>
        </w:rPr>
        <w:t xml:space="preserve">2.20. Условиями заключения договора являются:</w:t>
      </w:r>
    </w:p>
    <w:p>
      <w:pPr>
        <w:pStyle w:val="0"/>
        <w:spacing w:before="200" w:lineRule="auto"/>
        <w:ind w:firstLine="540"/>
        <w:jc w:val="both"/>
      </w:pPr>
      <w:r>
        <w:rPr>
          <w:sz w:val="20"/>
        </w:rPr>
        <w:t xml:space="preserve">а) выполнение результата предоставления гранта и характеристики результата предоставления гранта (далее - характеристика), в срок не позднее 31 декабря года, следующего за годом предоставления гранта, за исключением возникновения случаев форс-мажорных обстоятельств (включая стихийные явления, военные действия, пожары, забастовки, введение ограничений экспорта, импорта товаров (услуг) и другое).</w:t>
      </w:r>
    </w:p>
    <w:p>
      <w:pPr>
        <w:pStyle w:val="0"/>
        <w:spacing w:before="200" w:lineRule="auto"/>
        <w:ind w:firstLine="540"/>
        <w:jc w:val="both"/>
      </w:pPr>
      <w:r>
        <w:rPr>
          <w:sz w:val="20"/>
        </w:rPr>
        <w:t xml:space="preserve">Результатом предоставления гранта является обеспечение функционирования Добро.Центра с проведением мероприятий по развитию добровольчества в период до 31 декабря года, следующего за годом предоставления гранта. При этом результат предоставления гранта считается выполненным (равным 1) при условии достижения в полном объеме значения характеристики предоставления гранта (далее - характеристика).</w:t>
      </w:r>
    </w:p>
    <w:p>
      <w:pPr>
        <w:pStyle w:val="0"/>
        <w:spacing w:before="200" w:lineRule="auto"/>
        <w:ind w:firstLine="540"/>
        <w:jc w:val="both"/>
      </w:pPr>
      <w:r>
        <w:rPr>
          <w:sz w:val="20"/>
        </w:rPr>
        <w:t xml:space="preserve">Характеристикой является количество проведенных (реализованных) мероприятий / проектов в период реализации проекта.</w:t>
      </w:r>
    </w:p>
    <w:p>
      <w:pPr>
        <w:pStyle w:val="0"/>
        <w:spacing w:before="200" w:lineRule="auto"/>
        <w:ind w:firstLine="540"/>
        <w:jc w:val="both"/>
      </w:pPr>
      <w:r>
        <w:rPr>
          <w:sz w:val="20"/>
        </w:rPr>
        <w:t xml:space="preserve">Значение характеристики устанавливается в договоре в соответствии с информацией для отбора, представленной в составе заявки;</w:t>
      </w:r>
    </w:p>
    <w:p>
      <w:pPr>
        <w:pStyle w:val="0"/>
        <w:spacing w:before="200" w:lineRule="auto"/>
        <w:ind w:firstLine="540"/>
        <w:jc w:val="both"/>
      </w:pPr>
      <w:r>
        <w:rPr>
          <w:sz w:val="20"/>
        </w:rPr>
        <w:t xml:space="preserve">б) согласие получателя гранта на осуществление уполномоченным органом проверки порядка и условий предоставления гранта, в том числе в части достижения результата предоставления гранта, а также проверки органами государственного финансового контроля соблюдения порядка и условий предоставления субсидии в соответствии со </w:t>
      </w:r>
      <w:hyperlink w:history="0" r:id="rId30" w:tooltip="&quot;Бюджетный кодекс Российской Федерации&quot; от 31.07.1998 N 145-ФЗ (ред. от 28.11.2025) ------------ Недействующая редакция {КонсультантПлюс}">
        <w:r>
          <w:rPr>
            <w:sz w:val="20"/>
            <w:color w:val="0000ff"/>
          </w:rPr>
          <w:t xml:space="preserve">статьями 268.1</w:t>
        </w:r>
      </w:hyperlink>
      <w:r>
        <w:rPr>
          <w:sz w:val="20"/>
        </w:rPr>
        <w:t xml:space="preserve"> и </w:t>
      </w:r>
      <w:hyperlink w:history="0" r:id="rId31" w:tooltip="&quot;Бюджетный кодекс Российской Федерации&quot; от 31.07.1998 N 145-ФЗ (ред. от 28.11.2025) ------------ Недействующая редакция {КонсультантПлюс}">
        <w:r>
          <w:rPr>
            <w:sz w:val="20"/>
            <w:color w:val="0000ff"/>
          </w:rPr>
          <w:t xml:space="preserve">269.2</w:t>
        </w:r>
      </w:hyperlink>
      <w:r>
        <w:rPr>
          <w:sz w:val="20"/>
        </w:rPr>
        <w:t xml:space="preserve"> Бюджетного кодекса Российской Федерации;</w:t>
      </w:r>
    </w:p>
    <w:p>
      <w:pPr>
        <w:pStyle w:val="0"/>
        <w:spacing w:before="200" w:lineRule="auto"/>
        <w:ind w:firstLine="540"/>
        <w:jc w:val="both"/>
      </w:pPr>
      <w:r>
        <w:rPr>
          <w:sz w:val="20"/>
        </w:rPr>
        <w:t xml:space="preserve">в) обеспечение предоставления отчетов в соответствии с </w:t>
      </w:r>
      <w:hyperlink w:history="0" w:anchor="P329" w:tooltip="4. Требования к отчетности, осуществлению контроля">
        <w:r>
          <w:rPr>
            <w:sz w:val="20"/>
            <w:color w:val="0000ff"/>
          </w:rPr>
          <w:t xml:space="preserve">разделом 4</w:t>
        </w:r>
      </w:hyperlink>
      <w:r>
        <w:rPr>
          <w:sz w:val="20"/>
        </w:rPr>
        <w:t xml:space="preserve"> настоящего Порядка.</w:t>
      </w:r>
    </w:p>
    <w:p>
      <w:pPr>
        <w:pStyle w:val="0"/>
        <w:spacing w:before="200" w:lineRule="auto"/>
        <w:ind w:firstLine="540"/>
        <w:jc w:val="both"/>
      </w:pPr>
      <w:r>
        <w:rPr>
          <w:sz w:val="20"/>
        </w:rPr>
        <w:t xml:space="preserve">2.21. Уполномоченный орган обеспечивает подготовку и подписание договора в системе "Электронный бюджет" в срок, не превышающий 20 рабочих дней со дня принятия правового акта о предоставлении грантов.</w:t>
      </w:r>
    </w:p>
    <w:p>
      <w:pPr>
        <w:pStyle w:val="0"/>
        <w:spacing w:before="200" w:lineRule="auto"/>
        <w:ind w:firstLine="540"/>
        <w:jc w:val="both"/>
      </w:pPr>
      <w:r>
        <w:rPr>
          <w:sz w:val="20"/>
        </w:rPr>
        <w:t xml:space="preserve">Получатель гранта подписывает договор не позднее 10 календарных дней с даты направления ему проекта договора в системе "Электронный бюджет".</w:t>
      </w:r>
    </w:p>
    <w:p>
      <w:pPr>
        <w:pStyle w:val="0"/>
        <w:spacing w:before="200" w:lineRule="auto"/>
        <w:ind w:firstLine="540"/>
        <w:jc w:val="both"/>
      </w:pPr>
      <w:r>
        <w:rPr>
          <w:sz w:val="20"/>
        </w:rPr>
        <w:t xml:space="preserve">Для заключения договора уполномоченный орган проводит в порядке, установленном </w:t>
      </w:r>
      <w:hyperlink w:history="0" w:anchor="P108" w:tooltip="2.13. Доступ уполномоченному органу в системе &quot;Электронный бюджет&quot; к заявкам для их рассмотрения открывается с даты начала приема заявок.">
        <w:r>
          <w:rPr>
            <w:sz w:val="20"/>
            <w:color w:val="0000ff"/>
          </w:rPr>
          <w:t xml:space="preserve">пунктом 2.13</w:t>
        </w:r>
      </w:hyperlink>
      <w:r>
        <w:rPr>
          <w:sz w:val="20"/>
        </w:rPr>
        <w:t xml:space="preserve"> настоящего Порядка, проверку победителей отбора на соответствие требованиям, установленным </w:t>
      </w:r>
      <w:hyperlink w:history="0" w:anchor="P55" w:tooltip="2.2.1. по состоянию на даты рассмотрения заявки на участие в отборе (далее - заявка) и заключения соглашения о предоставлении гранта:">
        <w:r>
          <w:rPr>
            <w:sz w:val="20"/>
            <w:color w:val="0000ff"/>
          </w:rPr>
          <w:t xml:space="preserve">подпунктом 2.2.1 пункта 2.2</w:t>
        </w:r>
      </w:hyperlink>
      <w:r>
        <w:rPr>
          <w:sz w:val="20"/>
        </w:rPr>
        <w:t xml:space="preserve"> настоящего Порядка, по состоянию на дату заключения договора.</w:t>
      </w:r>
    </w:p>
    <w:p>
      <w:pPr>
        <w:pStyle w:val="0"/>
        <w:spacing w:before="200" w:lineRule="auto"/>
        <w:ind w:firstLine="540"/>
        <w:jc w:val="both"/>
      </w:pPr>
      <w:r>
        <w:rPr>
          <w:sz w:val="20"/>
        </w:rPr>
        <w:t xml:space="preserve">Уполномоченный орган отказывает в заключении договора, в случае если на дату заключения договора победитель отбора не соответствует требованиям, установленным в </w:t>
      </w:r>
      <w:hyperlink w:history="0" w:anchor="P55" w:tooltip="2.2.1. по состоянию на даты рассмотрения заявки на участие в отборе (далее - заявка) и заключения соглашения о предоставлении гранта:">
        <w:r>
          <w:rPr>
            <w:sz w:val="20"/>
            <w:color w:val="0000ff"/>
          </w:rPr>
          <w:t xml:space="preserve">подпункте 2.2.1 пункта 2.2</w:t>
        </w:r>
      </w:hyperlink>
      <w:r>
        <w:rPr>
          <w:sz w:val="20"/>
        </w:rPr>
        <w:t xml:space="preserve"> настоящего Порядка. В случае отказа в заключении договора уполномоченный орган в течение 5 рабочих дней со дня выявления факта несоответствия победителя отбора указанным требованиям, направляет победителю отбора уведомление об отказе в заключении договора с указанием причин отказа посредством почтовой связи или передает уведомление лично.</w:t>
      </w:r>
    </w:p>
    <w:p>
      <w:pPr>
        <w:pStyle w:val="0"/>
        <w:spacing w:before="200" w:lineRule="auto"/>
        <w:ind w:firstLine="540"/>
        <w:jc w:val="both"/>
      </w:pPr>
      <w:r>
        <w:rPr>
          <w:sz w:val="20"/>
        </w:rPr>
        <w:t xml:space="preserve">Получатель гранта признается уклонившимся от заключения договора в случае направления письменного уведомления об отказе заключения договора либо неподписания договора в системе "Электронный бюджет" в установленный срок. Уклонившемуся от заключения договора грант не предоставляется, о чем уполномоченный орган уведомляет получателя гранта в течение 5 рабочих дней со дня получения уведомления об отказе заключения договора посредством почтовой связи или передает уведомление лично.</w:t>
      </w:r>
    </w:p>
    <w:p>
      <w:pPr>
        <w:pStyle w:val="0"/>
        <w:spacing w:before="200" w:lineRule="auto"/>
        <w:ind w:firstLine="540"/>
        <w:jc w:val="both"/>
      </w:pPr>
      <w:r>
        <w:rPr>
          <w:sz w:val="20"/>
        </w:rPr>
        <w:t xml:space="preserve">В случае отказа в заключении договора или признания получателя гранта уклонившимся от заключения договора, уполномоченный орган в течение 5 рабочих дней вносит соответствующие изменения в правовой акт о предоставлении грантов.</w:t>
      </w:r>
    </w:p>
    <w:p>
      <w:pPr>
        <w:pStyle w:val="0"/>
        <w:spacing w:before="200" w:lineRule="auto"/>
        <w:ind w:firstLine="540"/>
        <w:jc w:val="both"/>
      </w:pPr>
      <w:r>
        <w:rPr>
          <w:sz w:val="20"/>
        </w:rPr>
        <w:t xml:space="preserve">Одновременно с подписанным договором получатель гранта представляет в уполномоченный орган план мероприятий по достижению результатов предоставления гранта (далее - план мероприятий) по форме, установленной Министерством финансов Российской Федерации.</w:t>
      </w:r>
    </w:p>
    <w:p>
      <w:pPr>
        <w:pStyle w:val="0"/>
        <w:spacing w:before="200" w:lineRule="auto"/>
        <w:ind w:firstLine="540"/>
        <w:jc w:val="both"/>
      </w:pPr>
      <w:r>
        <w:rPr>
          <w:sz w:val="20"/>
        </w:rPr>
        <w:t xml:space="preserve">Уполномоченный орган формирует и утверждает план мероприятий одновременно с подписанием договора.</w:t>
      </w:r>
    </w:p>
    <w:p>
      <w:pPr>
        <w:pStyle w:val="0"/>
        <w:spacing w:before="200" w:lineRule="auto"/>
        <w:ind w:firstLine="540"/>
        <w:jc w:val="both"/>
      </w:pPr>
      <w:r>
        <w:rPr>
          <w:sz w:val="20"/>
        </w:rPr>
        <w:t xml:space="preserve">2.22. Изменения и дополнения к договору, в том числе соглашение о расторжении договора, оформляются дополнительными соглашениями к договору в соответствии с типовой формой, установленной Министерством финансов области, в системе "Электронный бюджет".</w:t>
      </w:r>
    </w:p>
    <w:p>
      <w:pPr>
        <w:pStyle w:val="0"/>
        <w:spacing w:before="200" w:lineRule="auto"/>
        <w:ind w:firstLine="540"/>
        <w:jc w:val="both"/>
      </w:pPr>
      <w:r>
        <w:rPr>
          <w:sz w:val="20"/>
        </w:rPr>
        <w:t xml:space="preserve">В случае уменьшения уполномоченному органу ранее доведенных лимитов бюджетных обязательств на предоставление грантов, приводящего к невозможности предоставления грантов в размере, определенном в договоре, уполномоченный орган в течение 2 рабочих дней со дня уменьшения ранее доведенных лимитов бюджетных обязательств на предоставление грантов уведомляет об этом получателей грантов и направляет предложение о заключении дополнительного соглашения к договору или о расторжении договора при недостижении согласия по новым условиям с приложением проекта дополнительного соглашения к договору.</w:t>
      </w:r>
    </w:p>
    <w:p>
      <w:pPr>
        <w:pStyle w:val="0"/>
        <w:spacing w:before="200" w:lineRule="auto"/>
        <w:ind w:firstLine="540"/>
        <w:jc w:val="both"/>
      </w:pPr>
      <w:r>
        <w:rPr>
          <w:sz w:val="20"/>
        </w:rPr>
        <w:t xml:space="preserve">При реорганизации получателя гранта в форме слияния, присоединения или преобразования в договор вносятся изменения путем заключения дополнительного соглашения к договору в части перемены лица в обязательстве с указанием в договоре юридического лица, являющегося правопреемником.</w:t>
      </w:r>
    </w:p>
    <w:p>
      <w:pPr>
        <w:pStyle w:val="0"/>
        <w:spacing w:before="200" w:lineRule="auto"/>
        <w:ind w:firstLine="540"/>
        <w:jc w:val="both"/>
      </w:pPr>
      <w:r>
        <w:rPr>
          <w:sz w:val="20"/>
        </w:rPr>
        <w:t xml:space="preserve">При реорганизации получателя гранта в форме разделения, выделения, а также при ликвидации получателя гранта или прекращении деятельности получателя гранта договор расторгается с формированием уведомления о расторжении договора в одностороннем порядке и акта об исполнении обязательств по договору с отражением информации о не исполненных получателем гранта обязательствах, источником финансового обеспечения которых является грант, и возврате неиспользованного остатка гранта в областной бюджет.</w:t>
      </w:r>
    </w:p>
    <w:p>
      <w:pPr>
        <w:pStyle w:val="0"/>
        <w:spacing w:before="200" w:lineRule="auto"/>
        <w:ind w:firstLine="540"/>
        <w:jc w:val="both"/>
      </w:pPr>
      <w:r>
        <w:rPr>
          <w:sz w:val="20"/>
        </w:rPr>
        <w:t xml:space="preserve">Получатель гранта в течение 5 рабочих дней со дня получения уведомления о расторжении договора возвращает средства гранта в областной бюджет и направляет в уполномоченный орган посредством почтовой связи или через своего представителя копии документов, подтверждающих возврат средств гранта в областной бюджет.</w:t>
      </w:r>
    </w:p>
    <w:p>
      <w:pPr>
        <w:pStyle w:val="0"/>
        <w:spacing w:before="200" w:lineRule="auto"/>
        <w:ind w:firstLine="540"/>
        <w:jc w:val="both"/>
      </w:pPr>
      <w:r>
        <w:rPr>
          <w:sz w:val="20"/>
        </w:rPr>
        <w:t xml:space="preserve">Основанием для заключения дополнительного соглашения о расторжении договора не может быть инициатива получателя гранта.</w:t>
      </w:r>
    </w:p>
    <w:p>
      <w:pPr>
        <w:pStyle w:val="0"/>
        <w:spacing w:before="200" w:lineRule="auto"/>
        <w:ind w:firstLine="540"/>
        <w:jc w:val="both"/>
      </w:pPr>
      <w:r>
        <w:rPr>
          <w:sz w:val="20"/>
        </w:rPr>
        <w:t xml:space="preserve">2.23. Для перечисления гранта уполномоченный орган в течение 5 рабочих дней направляет в ГКУ ВО "Областное казначейство" копию правового акта о предоставлении грантов и копии заключенных договоров с получателями грантов.</w:t>
      </w:r>
    </w:p>
    <w:p>
      <w:pPr>
        <w:pStyle w:val="0"/>
        <w:spacing w:before="200" w:lineRule="auto"/>
        <w:ind w:firstLine="540"/>
        <w:jc w:val="both"/>
      </w:pPr>
      <w:r>
        <w:rPr>
          <w:sz w:val="20"/>
        </w:rPr>
        <w:t xml:space="preserve">Перечисление субсидии осуществляется ГКУ "Областное казначейство" в соответствии с утвержденными лимитами бюджетных обязательств и предельными объемами финансирования с лицевого счета, открытого уполномоченному органу в Министерстве финансов области:</w:t>
      </w:r>
    </w:p>
    <w:p>
      <w:pPr>
        <w:pStyle w:val="0"/>
        <w:spacing w:before="200" w:lineRule="auto"/>
        <w:ind w:firstLine="540"/>
        <w:jc w:val="both"/>
      </w:pPr>
      <w:r>
        <w:rPr>
          <w:sz w:val="20"/>
        </w:rPr>
        <w:t xml:space="preserve">получателям грантов, являющимся государственными (муниципальными) бюджетными и автономными учреждениями, - на лицевой счет, открытый в соответствующем финансовом органе;</w:t>
      </w:r>
    </w:p>
    <w:p>
      <w:pPr>
        <w:pStyle w:val="0"/>
        <w:spacing w:before="200" w:lineRule="auto"/>
        <w:ind w:firstLine="540"/>
        <w:jc w:val="both"/>
      </w:pPr>
      <w:r>
        <w:rPr>
          <w:sz w:val="20"/>
        </w:rPr>
        <w:t xml:space="preserve">получателям грантов, являющимся иными юридическими лицами, - на счет в кредитной организации.</w:t>
      </w:r>
    </w:p>
    <w:bookmarkStart w:id="159" w:name="P159"/>
    <w:bookmarkEnd w:id="159"/>
    <w:p>
      <w:pPr>
        <w:pStyle w:val="0"/>
        <w:spacing w:before="200" w:lineRule="auto"/>
        <w:ind w:firstLine="540"/>
        <w:jc w:val="both"/>
      </w:pPr>
      <w:r>
        <w:rPr>
          <w:sz w:val="20"/>
        </w:rPr>
        <w:t xml:space="preserve">2.24. Получатель гранта обязан:</w:t>
      </w:r>
    </w:p>
    <w:p>
      <w:pPr>
        <w:pStyle w:val="0"/>
        <w:spacing w:before="200" w:lineRule="auto"/>
        <w:ind w:firstLine="540"/>
        <w:jc w:val="both"/>
      </w:pPr>
      <w:r>
        <w:rPr>
          <w:sz w:val="20"/>
        </w:rPr>
        <w:t xml:space="preserve">использовать денежные средства исключительно на цели, предусмотренные настоящим Порядком, в соответствии с перечнем затрат, содержащимся в договоре, в срок не позднее 31 декабря года, следующего за годом предоставления гранта;</w:t>
      </w:r>
    </w:p>
    <w:p>
      <w:pPr>
        <w:pStyle w:val="0"/>
        <w:spacing w:before="200" w:lineRule="auto"/>
        <w:ind w:firstLine="540"/>
        <w:jc w:val="both"/>
      </w:pPr>
      <w:r>
        <w:rPr>
          <w:sz w:val="20"/>
        </w:rPr>
        <w:t xml:space="preserve">не приобретать средства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 а также связанных с достижением результатов предоставления этих средств иных операций, определенных правовым актом;</w:t>
      </w:r>
    </w:p>
    <w:p>
      <w:pPr>
        <w:pStyle w:val="0"/>
        <w:spacing w:before="200" w:lineRule="auto"/>
        <w:ind w:firstLine="540"/>
        <w:jc w:val="both"/>
      </w:pPr>
      <w:r>
        <w:rPr>
          <w:sz w:val="20"/>
        </w:rPr>
        <w:t xml:space="preserve">обеспечить достижение результата предоставления гранта и характеристики;</w:t>
      </w:r>
    </w:p>
    <w:p>
      <w:pPr>
        <w:pStyle w:val="0"/>
        <w:spacing w:before="200" w:lineRule="auto"/>
        <w:ind w:firstLine="540"/>
        <w:jc w:val="both"/>
      </w:pPr>
      <w:r>
        <w:rPr>
          <w:sz w:val="20"/>
        </w:rPr>
        <w:t xml:space="preserve">указывать на то, что приобретение средств, оборудования, а также проведение мероприятий реализуются при поддержке Министерства молодежной политики области, при распространении в какой-либо форме информации о мероприятиях Добро.Центра (в том числе в информационно-телекоммуникационной сети "Интернет"), а также при изготовлении и (или) приобретении полиграфической, презентационной, сувенирной и иной продукции на средства гранта;</w:t>
      </w:r>
    </w:p>
    <w:p>
      <w:pPr>
        <w:pStyle w:val="0"/>
        <w:spacing w:before="200" w:lineRule="auto"/>
        <w:ind w:firstLine="540"/>
        <w:jc w:val="both"/>
      </w:pPr>
      <w:r>
        <w:rPr>
          <w:sz w:val="20"/>
        </w:rPr>
        <w:t xml:space="preserve">представить отчетность, предусмотренную </w:t>
      </w:r>
      <w:hyperlink w:history="0" w:anchor="P329" w:tooltip="4. Требования к отчетности, осуществлению контроля">
        <w:r>
          <w:rPr>
            <w:sz w:val="20"/>
            <w:color w:val="0000ff"/>
          </w:rPr>
          <w:t xml:space="preserve">разделом 4</w:t>
        </w:r>
      </w:hyperlink>
      <w:r>
        <w:rPr>
          <w:sz w:val="20"/>
        </w:rPr>
        <w:t xml:space="preserve"> настоящего Порядка;</w:t>
      </w:r>
    </w:p>
    <w:p>
      <w:pPr>
        <w:pStyle w:val="0"/>
        <w:spacing w:before="200" w:lineRule="auto"/>
        <w:ind w:firstLine="540"/>
        <w:jc w:val="both"/>
      </w:pPr>
      <w:r>
        <w:rPr>
          <w:sz w:val="20"/>
        </w:rPr>
        <w:t xml:space="preserve">вести учет операций, осуществляемых за счет средств гранта;</w:t>
      </w:r>
    </w:p>
    <w:p>
      <w:pPr>
        <w:pStyle w:val="0"/>
        <w:spacing w:before="200" w:lineRule="auto"/>
        <w:ind w:firstLine="540"/>
        <w:jc w:val="both"/>
      </w:pPr>
      <w:r>
        <w:rPr>
          <w:sz w:val="20"/>
        </w:rPr>
        <w:t xml:space="preserve">включать в договоры (соглашения), заключенные в целях исполнения обязательств по договору, согласие лиц, являющихся поставщиками (подрядчиками, исполнителями) по договорам (соглашениям), заключенным в целях исполнения обязательств по договорам о предоставлении грантов, на осуществление проверок уполномоченным органом, предоставляющим гранты, соблюдения ими порядка и условий предоставления грантов, в том числе в части достижения результатов их предоставления, а также проверок органами государственного финансового контроля в соответствии со </w:t>
      </w:r>
      <w:hyperlink w:history="0" r:id="rId32" w:tooltip="&quot;Бюджетный кодекс Российской Федерации&quot; от 31.07.1998 N 145-ФЗ (ред. от 28.11.2025) ------------ Недействующая редакция {КонсультантПлюс}">
        <w:r>
          <w:rPr>
            <w:sz w:val="20"/>
            <w:color w:val="0000ff"/>
          </w:rPr>
          <w:t xml:space="preserve">статьями 268.1</w:t>
        </w:r>
      </w:hyperlink>
      <w:r>
        <w:rPr>
          <w:sz w:val="20"/>
        </w:rPr>
        <w:t xml:space="preserve"> и </w:t>
      </w:r>
      <w:hyperlink w:history="0" r:id="rId33" w:tooltip="&quot;Бюджетный кодекс Российской Федерации&quot; от 31.07.1998 N 145-ФЗ (ред. от 28.11.2025) ------------ Недействующая редакция {КонсультантПлюс}">
        <w:r>
          <w:rPr>
            <w:sz w:val="20"/>
            <w:color w:val="0000ff"/>
          </w:rPr>
          <w:t xml:space="preserve">269.2</w:t>
        </w:r>
      </w:hyperlink>
      <w:r>
        <w:rPr>
          <w:sz w:val="20"/>
        </w:rPr>
        <w:t xml:space="preserve"> Бюджетного кодекса Российской Федерации, и запрет приобретения за счет полученных средств, предоставленных в целях финансового обеспечения затрат получателей грантов,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w:t>
      </w:r>
    </w:p>
    <w:p>
      <w:pPr>
        <w:pStyle w:val="0"/>
        <w:spacing w:before="200" w:lineRule="auto"/>
        <w:ind w:firstLine="540"/>
        <w:jc w:val="both"/>
      </w:pPr>
      <w:r>
        <w:rPr>
          <w:sz w:val="20"/>
        </w:rPr>
        <w:t xml:space="preserve">в случае реорганизации или ликвидации юридического лица уведомлять об этом уполномоченный орган в течение 3 рабочих дней со дня принятия соответствующего решения.</w:t>
      </w:r>
    </w:p>
    <w:p>
      <w:pPr>
        <w:pStyle w:val="0"/>
        <w:spacing w:before="200" w:lineRule="auto"/>
        <w:ind w:firstLine="540"/>
        <w:jc w:val="both"/>
      </w:pPr>
      <w:r>
        <w:rPr>
          <w:sz w:val="20"/>
        </w:rPr>
        <w:t xml:space="preserve">2.25. Получатель гранта в срок не позднее чем за 45 календарных дней до окончания периода расходования средств гранта вправе обратиться в уполномоченный орган с </w:t>
      </w:r>
      <w:hyperlink w:history="0" w:anchor="P621" w:tooltip="ЗАЯВЛЕНИЕ">
        <w:r>
          <w:rPr>
            <w:sz w:val="20"/>
            <w:color w:val="0000ff"/>
          </w:rPr>
          <w:t xml:space="preserve">заявлением</w:t>
        </w:r>
      </w:hyperlink>
      <w:r>
        <w:rPr>
          <w:sz w:val="20"/>
        </w:rPr>
        <w:t xml:space="preserve"> о необходимости перераспределения средств между направлениями использования средств, включенных в перечень затрат, предусмотренный договором, по форме согласно приложению 2 к настоящему Порядку.</w:t>
      </w:r>
    </w:p>
    <w:p>
      <w:pPr>
        <w:pStyle w:val="0"/>
        <w:spacing w:before="200" w:lineRule="auto"/>
        <w:ind w:firstLine="540"/>
        <w:jc w:val="both"/>
      </w:pPr>
      <w:r>
        <w:rPr>
          <w:sz w:val="20"/>
        </w:rPr>
        <w:t xml:space="preserve">Заявление направляется в уполномоченный орган получателем гранта посредством личного обращения, или посредством услуг почтовой связи, или по электронной почте с последующим досылом на бумажном носителе.</w:t>
      </w:r>
    </w:p>
    <w:p>
      <w:pPr>
        <w:pStyle w:val="0"/>
        <w:spacing w:before="200" w:lineRule="auto"/>
        <w:ind w:firstLine="540"/>
        <w:jc w:val="both"/>
      </w:pPr>
      <w:r>
        <w:rPr>
          <w:sz w:val="20"/>
        </w:rPr>
        <w:t xml:space="preserve">Не допускается изменение предусмотренных перечнем затрат:</w:t>
      </w:r>
    </w:p>
    <w:p>
      <w:pPr>
        <w:pStyle w:val="0"/>
        <w:spacing w:before="200" w:lineRule="auto"/>
        <w:ind w:firstLine="540"/>
        <w:jc w:val="both"/>
      </w:pPr>
      <w:r>
        <w:rPr>
          <w:sz w:val="20"/>
        </w:rPr>
        <w:t xml:space="preserve">общего объема средств гранта;</w:t>
      </w:r>
    </w:p>
    <w:p>
      <w:pPr>
        <w:pStyle w:val="0"/>
        <w:spacing w:before="200" w:lineRule="auto"/>
        <w:ind w:firstLine="540"/>
        <w:jc w:val="both"/>
      </w:pPr>
      <w:r>
        <w:rPr>
          <w:sz w:val="20"/>
        </w:rPr>
        <w:t xml:space="preserve">направлений использования средств, за исключением случаев их уточнения.</w:t>
      </w:r>
    </w:p>
    <w:p>
      <w:pPr>
        <w:pStyle w:val="0"/>
        <w:spacing w:before="200" w:lineRule="auto"/>
        <w:ind w:firstLine="540"/>
        <w:jc w:val="both"/>
      </w:pPr>
      <w:r>
        <w:rPr>
          <w:sz w:val="20"/>
        </w:rPr>
        <w:t xml:space="preserve">2.26. Заявление, указанное в </w:t>
      </w:r>
      <w:hyperlink w:history="0" w:anchor="P159" w:tooltip="2.24. Получатель гранта обязан:">
        <w:r>
          <w:rPr>
            <w:sz w:val="20"/>
            <w:color w:val="0000ff"/>
          </w:rPr>
          <w:t xml:space="preserve">пункте 2.24</w:t>
        </w:r>
      </w:hyperlink>
      <w:r>
        <w:rPr>
          <w:sz w:val="20"/>
        </w:rPr>
        <w:t xml:space="preserve"> настоящего Порядка, не подается в случае однократного перераспределения между направлениями использования средств, предусмотренными перечнем затрат средств гранта в размере менее 10% от объема предоставленного гранта (далее - однократное перераспределение денежных средств).</w:t>
      </w:r>
    </w:p>
    <w:p>
      <w:pPr>
        <w:pStyle w:val="0"/>
        <w:spacing w:before="200" w:lineRule="auto"/>
        <w:ind w:firstLine="540"/>
        <w:jc w:val="both"/>
      </w:pPr>
      <w:r>
        <w:rPr>
          <w:sz w:val="20"/>
        </w:rPr>
        <w:t xml:space="preserve">Решение об однократном перераспределении денежных средств получатель гранта принимает самостоятельно и уведомляет об этом уполномоченный орган в письменной форме с приложением подписанного им актуализированного перечня затрат.</w:t>
      </w:r>
    </w:p>
    <w:p>
      <w:pPr>
        <w:pStyle w:val="0"/>
        <w:spacing w:before="200" w:lineRule="auto"/>
        <w:ind w:firstLine="540"/>
        <w:jc w:val="both"/>
      </w:pPr>
      <w:r>
        <w:rPr>
          <w:sz w:val="20"/>
        </w:rPr>
        <w:t xml:space="preserve">При отсутствии уведомления в письменной форме об однократном перераспределении денежных средств такое перераспределение признается нарушением порядка предоставления гранта.</w:t>
      </w:r>
    </w:p>
    <w:p>
      <w:pPr>
        <w:pStyle w:val="0"/>
        <w:spacing w:before="200" w:lineRule="auto"/>
        <w:ind w:firstLine="540"/>
        <w:jc w:val="both"/>
      </w:pPr>
      <w:r>
        <w:rPr>
          <w:sz w:val="20"/>
        </w:rPr>
        <w:t xml:space="preserve">При несогласии уполномоченного органа с перераспределением средств гранта между направлениями расходования, указанным в уведомлении, уполномоченный орган направляет получателю гранта письменное возражение в срок, не превышающий 5 рабочих дней со дня получения уведомления от получателя гранта, на адрес электронной почты, указанный в информации о получателе гранта. При отсутствии указанного уведомления перераспределение средств гранта считается согласованным.</w:t>
      </w:r>
    </w:p>
    <w:p>
      <w:pPr>
        <w:pStyle w:val="0"/>
        <w:spacing w:before="200" w:lineRule="auto"/>
        <w:ind w:firstLine="540"/>
        <w:jc w:val="both"/>
      </w:pPr>
      <w:r>
        <w:rPr>
          <w:sz w:val="20"/>
        </w:rPr>
        <w:t xml:space="preserve">В случае согласованного однократного перераспределения денежных средств между направлениями использования средств гранта внесение изменений в договор не требуется, при этом итоговый отчет об использовании средств гранта представляется с учетом такого перераспределения.</w:t>
      </w:r>
    </w:p>
    <w:p>
      <w:pPr>
        <w:pStyle w:val="0"/>
        <w:spacing w:before="200" w:lineRule="auto"/>
        <w:ind w:firstLine="540"/>
        <w:jc w:val="both"/>
      </w:pPr>
      <w:r>
        <w:rPr>
          <w:sz w:val="20"/>
        </w:rPr>
        <w:t xml:space="preserve">В случае необходимости последующего перераспределения средств, в том числе в размере менее 10% от объема предоставленного гранта, получатель гранта обращается с заявлением в уполномоченный орган в порядке, предусмотренном </w:t>
      </w:r>
      <w:hyperlink w:history="0" w:anchor="P159" w:tooltip="2.24. Получатель гранта обязан:">
        <w:r>
          <w:rPr>
            <w:sz w:val="20"/>
            <w:color w:val="0000ff"/>
          </w:rPr>
          <w:t xml:space="preserve">пунктом 2.24</w:t>
        </w:r>
      </w:hyperlink>
      <w:r>
        <w:rPr>
          <w:sz w:val="20"/>
        </w:rPr>
        <w:t xml:space="preserve"> настоящего Порядка.</w:t>
      </w:r>
    </w:p>
    <w:p>
      <w:pPr>
        <w:pStyle w:val="0"/>
        <w:jc w:val="both"/>
      </w:pPr>
      <w:r>
        <w:rPr>
          <w:sz w:val="20"/>
        </w:rPr>
      </w:r>
    </w:p>
    <w:bookmarkStart w:id="180" w:name="P180"/>
    <w:bookmarkEnd w:id="180"/>
    <w:p>
      <w:pPr>
        <w:pStyle w:val="2"/>
        <w:outlineLvl w:val="1"/>
        <w:jc w:val="center"/>
      </w:pPr>
      <w:r>
        <w:rPr>
          <w:sz w:val="20"/>
        </w:rPr>
        <w:t xml:space="preserve">3. Порядок проведения отбора</w:t>
      </w:r>
    </w:p>
    <w:p>
      <w:pPr>
        <w:pStyle w:val="0"/>
        <w:jc w:val="both"/>
      </w:pPr>
      <w:r>
        <w:rPr>
          <w:sz w:val="20"/>
        </w:rPr>
      </w:r>
    </w:p>
    <w:p>
      <w:pPr>
        <w:pStyle w:val="0"/>
        <w:ind w:firstLine="540"/>
        <w:jc w:val="both"/>
      </w:pPr>
      <w:r>
        <w:rPr>
          <w:sz w:val="20"/>
        </w:rPr>
        <w:t xml:space="preserve">3.1. В целях проведения отбора создается конкурсная комиссия по отбору получателей грантов на поддержку добровольчества на территории Вологодской области (далее - конкурсная комиссия) в соответствии с </w:t>
      </w:r>
      <w:hyperlink w:history="0" w:anchor="P706" w:tooltip="ПОЛОЖЕНИЕ">
        <w:r>
          <w:rPr>
            <w:sz w:val="20"/>
            <w:color w:val="0000ff"/>
          </w:rPr>
          <w:t xml:space="preserve">Положением</w:t>
        </w:r>
      </w:hyperlink>
      <w:r>
        <w:rPr>
          <w:sz w:val="20"/>
        </w:rPr>
        <w:t xml:space="preserve"> о конкурсной комиссии (</w:t>
      </w:r>
      <w:hyperlink w:history="0" w:anchor="P706" w:tooltip="ПОЛОЖЕНИЕ">
        <w:r>
          <w:rPr>
            <w:sz w:val="20"/>
            <w:color w:val="0000ff"/>
          </w:rPr>
          <w:t xml:space="preserve">приложение 3</w:t>
        </w:r>
      </w:hyperlink>
      <w:r>
        <w:rPr>
          <w:sz w:val="20"/>
        </w:rPr>
        <w:t xml:space="preserve"> к настоящему Порядку). Обеспечение деятельности конкурсной комиссии осуществляется уполномоченным органом.</w:t>
      </w:r>
    </w:p>
    <w:p>
      <w:pPr>
        <w:pStyle w:val="0"/>
        <w:spacing w:before="200" w:lineRule="auto"/>
        <w:ind w:firstLine="540"/>
        <w:jc w:val="both"/>
      </w:pPr>
      <w:r>
        <w:rPr>
          <w:sz w:val="20"/>
        </w:rPr>
        <w:t xml:space="preserve">3.2. В течение 3 рабочих дней со дня окончания срока рассмотрения заявок уполномоченный орган направляет в конкурсную комиссию справку о результатах проверки, указанную в </w:t>
      </w:r>
      <w:hyperlink w:history="0" w:anchor="P108" w:tooltip="2.13. Доступ уполномоченному органу в системе &quot;Электронный бюджет&quot; к заявкам для их рассмотрения открывается с даты начала приема заявок.">
        <w:r>
          <w:rPr>
            <w:sz w:val="20"/>
            <w:color w:val="0000ff"/>
          </w:rPr>
          <w:t xml:space="preserve">пункте 2.13</w:t>
        </w:r>
      </w:hyperlink>
      <w:r>
        <w:rPr>
          <w:sz w:val="20"/>
        </w:rPr>
        <w:t xml:space="preserve"> настоящего Порядка.</w:t>
      </w:r>
    </w:p>
    <w:p>
      <w:pPr>
        <w:pStyle w:val="0"/>
        <w:spacing w:before="200" w:lineRule="auto"/>
        <w:ind w:firstLine="540"/>
        <w:jc w:val="both"/>
      </w:pPr>
      <w:r>
        <w:rPr>
          <w:sz w:val="20"/>
        </w:rPr>
        <w:t xml:space="preserve">3.3. Условиями признания отбора несостоявшимся являются:</w:t>
      </w:r>
    </w:p>
    <w:p>
      <w:pPr>
        <w:pStyle w:val="0"/>
        <w:spacing w:before="200" w:lineRule="auto"/>
        <w:ind w:firstLine="540"/>
        <w:jc w:val="both"/>
      </w:pPr>
      <w:r>
        <w:rPr>
          <w:sz w:val="20"/>
        </w:rPr>
        <w:t xml:space="preserve">отсутствие заявок на участие в отборе;</w:t>
      </w:r>
    </w:p>
    <w:p>
      <w:pPr>
        <w:pStyle w:val="0"/>
        <w:spacing w:before="200" w:lineRule="auto"/>
        <w:ind w:firstLine="540"/>
        <w:jc w:val="both"/>
      </w:pPr>
      <w:r>
        <w:rPr>
          <w:sz w:val="20"/>
        </w:rPr>
        <w:t xml:space="preserve">отклонение всех поступивших заявок.</w:t>
      </w:r>
    </w:p>
    <w:p>
      <w:pPr>
        <w:pStyle w:val="0"/>
        <w:spacing w:before="200" w:lineRule="auto"/>
        <w:ind w:firstLine="540"/>
        <w:jc w:val="both"/>
      </w:pPr>
      <w:r>
        <w:rPr>
          <w:sz w:val="20"/>
        </w:rPr>
        <w:t xml:space="preserve">В указанных выше случаях уполномоченный орган информирует об этом конкурсную комиссию в течение 3 рабочих дней со дня окончания срока подачи заявок (в случае отсутствия заявок) или 3 рабочих дней со дня окончания рассмотрения заявок на участие в конкурсе в соответствии с </w:t>
      </w:r>
      <w:hyperlink w:history="0" w:anchor="P107" w:tooltip="2.12. После истечения срока отбора прием заявок не осуществляется, внесение изменений в поданную заявку не допускается.">
        <w:r>
          <w:rPr>
            <w:sz w:val="20"/>
            <w:color w:val="0000ff"/>
          </w:rPr>
          <w:t xml:space="preserve">пунктом 2.12</w:t>
        </w:r>
      </w:hyperlink>
      <w:r>
        <w:rPr>
          <w:sz w:val="20"/>
        </w:rPr>
        <w:t xml:space="preserve"> настоящего Порядка (в случае отклонения всех заявок).</w:t>
      </w:r>
    </w:p>
    <w:p>
      <w:pPr>
        <w:pStyle w:val="0"/>
        <w:spacing w:before="200" w:lineRule="auto"/>
        <w:ind w:firstLine="540"/>
        <w:jc w:val="both"/>
      </w:pPr>
      <w:r>
        <w:rPr>
          <w:sz w:val="20"/>
        </w:rPr>
        <w:t xml:space="preserve">Конкурсная комиссия не позднее 3 рабочих дней со дня получения указанной информации принимает решение о признании отбора несостоявшимся, что отражается в протоколе заседания конкурсной комиссии.</w:t>
      </w:r>
    </w:p>
    <w:p>
      <w:pPr>
        <w:pStyle w:val="0"/>
        <w:spacing w:before="200" w:lineRule="auto"/>
        <w:ind w:firstLine="540"/>
        <w:jc w:val="both"/>
      </w:pPr>
      <w:r>
        <w:rPr>
          <w:sz w:val="20"/>
        </w:rPr>
        <w:t xml:space="preserve">Условием отмены проведения отбора является уменьшение уполномоченному органу ранее доведенных лимитов бюджетных обязательств на предоставление грантов, приводящего к невозможности предоставления грантов.</w:t>
      </w:r>
    </w:p>
    <w:p>
      <w:pPr>
        <w:pStyle w:val="0"/>
        <w:spacing w:before="200" w:lineRule="auto"/>
        <w:ind w:firstLine="540"/>
        <w:jc w:val="both"/>
      </w:pPr>
      <w:r>
        <w:rPr>
          <w:sz w:val="20"/>
        </w:rPr>
        <w:t xml:space="preserve">3.4. В случае признания отбора несостоявшимся или его отмены уполномоченный орган размещает информацию об этом на Портале, на официальном сайте уполномоченного органа в течение 5 рабочих дней со дня принятия решения конкурсной комиссией или доведения до уполномоченного органа информации об уменьшении ранее доведенных лимитов бюджетных обязательств на предоставление грантов.</w:t>
      </w:r>
    </w:p>
    <w:p>
      <w:pPr>
        <w:pStyle w:val="0"/>
        <w:spacing w:before="200" w:lineRule="auto"/>
        <w:ind w:firstLine="540"/>
        <w:jc w:val="both"/>
      </w:pPr>
      <w:r>
        <w:rPr>
          <w:sz w:val="20"/>
        </w:rPr>
        <w:t xml:space="preserve">3.5. Доступ к заявкам членам конкурсной комиссии в системе "Электронный бюджет" открывается уполномоченным органом с даты размещения протокола вскрытия заявок на Портале.</w:t>
      </w:r>
    </w:p>
    <w:p>
      <w:pPr>
        <w:pStyle w:val="0"/>
        <w:spacing w:before="200" w:lineRule="auto"/>
        <w:ind w:firstLine="540"/>
        <w:jc w:val="both"/>
      </w:pPr>
      <w:r>
        <w:rPr>
          <w:sz w:val="20"/>
        </w:rPr>
        <w:t xml:space="preserve">Члены конкурсной комиссии рассматривают представленные заявки в системе "Электронный бюджет" в течение 10 рабочих дней со дня получения доступа от уполномоченного органа и производят оценку заявок в системе "Электронный бюджет".</w:t>
      </w:r>
    </w:p>
    <w:p>
      <w:pPr>
        <w:pStyle w:val="0"/>
        <w:spacing w:before="200" w:lineRule="auto"/>
        <w:ind w:firstLine="540"/>
        <w:jc w:val="both"/>
      </w:pPr>
      <w:r>
        <w:rPr>
          <w:sz w:val="20"/>
        </w:rPr>
        <w:t xml:space="preserve">3.6. В оценке заявок принимают участие все члены конкурсной комиссии, за исключением случаев, когда член конкурсной комиссии уведомил конкурсную комиссию о невозможности участия в оценке. При этом каждая заявка оценивается не менее чем тремя членами конкурсной комиссии.</w:t>
      </w:r>
    </w:p>
    <w:bookmarkStart w:id="194" w:name="P194"/>
    <w:bookmarkEnd w:id="194"/>
    <w:p>
      <w:pPr>
        <w:pStyle w:val="0"/>
        <w:spacing w:before="200" w:lineRule="auto"/>
        <w:ind w:firstLine="540"/>
        <w:jc w:val="both"/>
      </w:pPr>
      <w:r>
        <w:rPr>
          <w:sz w:val="20"/>
        </w:rPr>
        <w:t xml:space="preserve">3.7. Члены конкурсной комиссии проводят оценку заявки в соответствии с критериями, определенными в таблице.</w:t>
      </w:r>
    </w:p>
    <w:p>
      <w:pPr>
        <w:pStyle w:val="0"/>
        <w:spacing w:before="200" w:lineRule="auto"/>
        <w:ind w:firstLine="540"/>
        <w:jc w:val="both"/>
      </w:pPr>
      <w:r>
        <w:rPr>
          <w:sz w:val="20"/>
        </w:rPr>
        <w:t xml:space="preserve">Для оценки заявки член конкурсной комиссии определяет соответствие заявки показателям, образующим критерии оценки, и в случае соответствия этим показателям присваивает каждой заявке баллы в соответствии с таблицей (целым числом). При несоответствии заявки показателю, образующему критерий оценки, предусмотренный для такого показателя балл не присваивается. Оценка заявок осуществляется по всем установленным критериям оценки заявки и показателям, образующим критерии оценки заявки.</w:t>
      </w:r>
    </w:p>
    <w:p>
      <w:pPr>
        <w:pStyle w:val="0"/>
        <w:spacing w:before="200" w:lineRule="auto"/>
        <w:ind w:firstLine="540"/>
        <w:jc w:val="both"/>
      </w:pPr>
      <w:r>
        <w:rPr>
          <w:sz w:val="20"/>
        </w:rPr>
        <w:t xml:space="preserve">Присвоенные членом комиссии заявке баллы по каждому показателю, образующему критерии оценки заявок, суммируются и умножаются на величину значимости соответствующего критерия оценки заявки. Сумма полученных значений (в процентах) считается средним баллом.</w:t>
      </w:r>
    </w:p>
    <w:p>
      <w:pPr>
        <w:pStyle w:val="0"/>
        <w:jc w:val="both"/>
      </w:pPr>
      <w:r>
        <w:rPr>
          <w:sz w:val="20"/>
        </w:rPr>
      </w:r>
    </w:p>
    <w:p>
      <w:pPr>
        <w:pStyle w:val="0"/>
        <w:jc w:val="right"/>
      </w:pPr>
      <w:r>
        <w:rPr>
          <w:sz w:val="20"/>
        </w:rPr>
        <w:t xml:space="preserve">Таблица</w:t>
      </w:r>
    </w:p>
    <w:p>
      <w:pPr>
        <w:pStyle w:val="0"/>
        <w:jc w:val="both"/>
      </w:pPr>
      <w:r>
        <w:rPr>
          <w:sz w:val="20"/>
        </w:rPr>
      </w:r>
    </w:p>
    <w:p>
      <w:pPr>
        <w:sectPr>
          <w:headerReference w:type="default" r:id="rId6"/>
          <w:headerReference w:type="first" r:id="rId6"/>
          <w:footerReference w:type="default" r:id="rId7"/>
          <w:footerReference w:type="first" r:id="rId7"/>
          <w:pgSz w:w="11906" w:h="16838"/>
          <w:pgMar w:top="1440" w:right="566" w:bottom="1440" w:left="1133" w:header="0" w:footer="0" w:gutter="0"/>
          <w:titlePg/>
        </w:sectPr>
      </w:pP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624"/>
        <w:gridCol w:w="4365"/>
        <w:gridCol w:w="3005"/>
        <w:gridCol w:w="1020"/>
        <w:gridCol w:w="1361"/>
      </w:tblGrid>
      <w:tr>
        <w:tc>
          <w:tcPr>
            <w:tcW w:w="624" w:type="dxa"/>
            <w:vMerge w:val="restart"/>
          </w:tcPr>
          <w:p>
            <w:pPr>
              <w:pStyle w:val="0"/>
              <w:jc w:val="center"/>
            </w:pPr>
            <w:r>
              <w:rPr>
                <w:sz w:val="20"/>
              </w:rPr>
              <w:t xml:space="preserve">N</w:t>
            </w:r>
          </w:p>
          <w:p>
            <w:pPr>
              <w:pStyle w:val="0"/>
              <w:jc w:val="center"/>
            </w:pPr>
            <w:r>
              <w:rPr>
                <w:sz w:val="20"/>
              </w:rPr>
              <w:t xml:space="preserve">п/п</w:t>
            </w:r>
          </w:p>
        </w:tc>
        <w:tc>
          <w:tcPr>
            <w:tcW w:w="4365" w:type="dxa"/>
            <w:vMerge w:val="restart"/>
          </w:tcPr>
          <w:p>
            <w:pPr>
              <w:pStyle w:val="0"/>
              <w:jc w:val="center"/>
            </w:pPr>
            <w:r>
              <w:rPr>
                <w:sz w:val="20"/>
              </w:rPr>
              <w:t xml:space="preserve">Критерии оценки заявки</w:t>
            </w:r>
          </w:p>
        </w:tc>
        <w:tc>
          <w:tcPr>
            <w:gridSpan w:val="2"/>
            <w:tcW w:w="4025" w:type="dxa"/>
          </w:tcPr>
          <w:p>
            <w:pPr>
              <w:pStyle w:val="0"/>
            </w:pPr>
            <w:r>
              <w:rPr>
                <w:sz w:val="20"/>
              </w:rPr>
              <w:t xml:space="preserve">Показатели, образующие критерии оценки заявки</w:t>
            </w:r>
          </w:p>
        </w:tc>
        <w:tc>
          <w:tcPr>
            <w:tcW w:w="1361" w:type="dxa"/>
            <w:vMerge w:val="restart"/>
          </w:tcPr>
          <w:p>
            <w:pPr>
              <w:pStyle w:val="0"/>
            </w:pPr>
            <w:r>
              <w:rPr>
                <w:sz w:val="20"/>
              </w:rPr>
              <w:t xml:space="preserve">Величина значимости критерия оценки, %</w:t>
            </w:r>
          </w:p>
        </w:tc>
      </w:tr>
      <w:tr>
        <w:tc>
          <w:tcPr>
            <w:vMerge w:val="continue"/>
          </w:tcPr>
          <w:p/>
        </w:tc>
        <w:tc>
          <w:tcPr>
            <w:vMerge w:val="continue"/>
          </w:tcPr>
          <w:p/>
        </w:tc>
        <w:tc>
          <w:tcPr>
            <w:tcW w:w="3005" w:type="dxa"/>
          </w:tcPr>
          <w:p>
            <w:pPr>
              <w:pStyle w:val="0"/>
              <w:jc w:val="center"/>
            </w:pPr>
            <w:r>
              <w:rPr>
                <w:sz w:val="20"/>
              </w:rPr>
              <w:t xml:space="preserve">Наименование показателя</w:t>
            </w:r>
          </w:p>
        </w:tc>
        <w:tc>
          <w:tcPr>
            <w:tcW w:w="1020" w:type="dxa"/>
          </w:tcPr>
          <w:p>
            <w:pPr>
              <w:pStyle w:val="0"/>
              <w:jc w:val="center"/>
            </w:pPr>
            <w:r>
              <w:rPr>
                <w:sz w:val="20"/>
              </w:rPr>
              <w:t xml:space="preserve">(Баллы)</w:t>
            </w:r>
          </w:p>
        </w:tc>
        <w:tc>
          <w:tcPr>
            <w:vMerge w:val="continue"/>
          </w:tcPr>
          <w:p/>
        </w:tc>
      </w:tr>
      <w:tr>
        <w:tc>
          <w:tcPr>
            <w:tcW w:w="624" w:type="dxa"/>
            <w:vMerge w:val="restart"/>
          </w:tcPr>
          <w:p>
            <w:pPr>
              <w:pStyle w:val="0"/>
            </w:pPr>
            <w:r>
              <w:rPr>
                <w:sz w:val="20"/>
              </w:rPr>
              <w:t xml:space="preserve">1.</w:t>
            </w:r>
          </w:p>
        </w:tc>
        <w:tc>
          <w:tcPr>
            <w:tcW w:w="4365" w:type="dxa"/>
            <w:vMerge w:val="restart"/>
          </w:tcPr>
          <w:p>
            <w:pPr>
              <w:pStyle w:val="0"/>
            </w:pPr>
            <w:r>
              <w:rPr>
                <w:sz w:val="20"/>
              </w:rPr>
              <w:t xml:space="preserve">Вклад организации в развитие добровольческой деятельности на территории региона</w:t>
            </w:r>
          </w:p>
        </w:tc>
        <w:tc>
          <w:tcPr>
            <w:tcW w:w="3005" w:type="dxa"/>
          </w:tcPr>
          <w:p>
            <w:pPr>
              <w:pStyle w:val="0"/>
            </w:pPr>
            <w:r>
              <w:rPr>
                <w:sz w:val="20"/>
              </w:rPr>
              <w:t xml:space="preserve">Реализация комплекса мероприятий по развитию добровольчества на территории региона</w:t>
            </w:r>
          </w:p>
        </w:tc>
        <w:tc>
          <w:tcPr>
            <w:tcW w:w="1020" w:type="dxa"/>
          </w:tcPr>
          <w:p>
            <w:pPr>
              <w:pStyle w:val="0"/>
              <w:jc w:val="center"/>
            </w:pPr>
            <w:r>
              <w:rPr>
                <w:sz w:val="20"/>
              </w:rPr>
              <w:t xml:space="preserve">20</w:t>
            </w:r>
          </w:p>
        </w:tc>
        <w:tc>
          <w:tcPr>
            <w:tcW w:w="1361" w:type="dxa"/>
            <w:vMerge w:val="restart"/>
          </w:tcPr>
          <w:p>
            <w:pPr>
              <w:pStyle w:val="0"/>
              <w:jc w:val="center"/>
            </w:pPr>
            <w:r>
              <w:rPr>
                <w:sz w:val="20"/>
              </w:rPr>
              <w:t xml:space="preserve">15</w:t>
            </w:r>
          </w:p>
        </w:tc>
      </w:tr>
      <w:tr>
        <w:tc>
          <w:tcPr>
            <w:vMerge w:val="continue"/>
          </w:tcPr>
          <w:p/>
        </w:tc>
        <w:tc>
          <w:tcPr>
            <w:vMerge w:val="continue"/>
          </w:tcPr>
          <w:p/>
        </w:tc>
        <w:tc>
          <w:tcPr>
            <w:tcW w:w="3005" w:type="dxa"/>
          </w:tcPr>
          <w:p>
            <w:pPr>
              <w:pStyle w:val="0"/>
            </w:pPr>
            <w:r>
              <w:rPr>
                <w:sz w:val="20"/>
              </w:rPr>
              <w:t xml:space="preserve">Проведение обучающих мероприятий для волонтеров, волонтерских организаций, НКО и благотворительных фондов</w:t>
            </w:r>
          </w:p>
        </w:tc>
        <w:tc>
          <w:tcPr>
            <w:tcW w:w="1020" w:type="dxa"/>
          </w:tcPr>
          <w:p>
            <w:pPr>
              <w:pStyle w:val="0"/>
              <w:jc w:val="center"/>
            </w:pPr>
            <w:r>
              <w:rPr>
                <w:sz w:val="20"/>
              </w:rPr>
              <w:t xml:space="preserve">20</w:t>
            </w:r>
          </w:p>
        </w:tc>
        <w:tc>
          <w:tcPr>
            <w:vMerge w:val="continue"/>
          </w:tcPr>
          <w:p/>
        </w:tc>
      </w:tr>
      <w:tr>
        <w:tc>
          <w:tcPr>
            <w:vMerge w:val="continue"/>
          </w:tcPr>
          <w:p/>
        </w:tc>
        <w:tc>
          <w:tcPr>
            <w:vMerge w:val="continue"/>
          </w:tcPr>
          <w:p/>
        </w:tc>
        <w:tc>
          <w:tcPr>
            <w:tcW w:w="3005" w:type="dxa"/>
          </w:tcPr>
          <w:p>
            <w:pPr>
              <w:pStyle w:val="0"/>
            </w:pPr>
            <w:r>
              <w:rPr>
                <w:sz w:val="20"/>
              </w:rPr>
              <w:t xml:space="preserve">Проведение мероприятий совместно с Ресурсным центром развития добровольчества</w:t>
            </w:r>
          </w:p>
        </w:tc>
        <w:tc>
          <w:tcPr>
            <w:tcW w:w="1020" w:type="dxa"/>
          </w:tcPr>
          <w:p>
            <w:pPr>
              <w:pStyle w:val="0"/>
              <w:jc w:val="center"/>
            </w:pPr>
            <w:r>
              <w:rPr>
                <w:sz w:val="20"/>
              </w:rPr>
              <w:t xml:space="preserve">20</w:t>
            </w:r>
          </w:p>
        </w:tc>
        <w:tc>
          <w:tcPr>
            <w:vMerge w:val="continue"/>
          </w:tcPr>
          <w:p/>
        </w:tc>
      </w:tr>
      <w:tr>
        <w:tc>
          <w:tcPr>
            <w:vMerge w:val="continue"/>
          </w:tcPr>
          <w:p/>
        </w:tc>
        <w:tc>
          <w:tcPr>
            <w:vMerge w:val="continue"/>
          </w:tcPr>
          <w:p/>
        </w:tc>
        <w:tc>
          <w:tcPr>
            <w:tcW w:w="3005" w:type="dxa"/>
          </w:tcPr>
          <w:p>
            <w:pPr>
              <w:pStyle w:val="0"/>
            </w:pPr>
            <w:r>
              <w:rPr>
                <w:sz w:val="20"/>
              </w:rPr>
              <w:t xml:space="preserve">Проведение мероприятий/событий в сфере добровольчества с участием Губернатора области, глав муниципальных образований, руководителей исполнительных органов области</w:t>
            </w:r>
          </w:p>
        </w:tc>
        <w:tc>
          <w:tcPr>
            <w:tcW w:w="1020" w:type="dxa"/>
          </w:tcPr>
          <w:p>
            <w:pPr>
              <w:pStyle w:val="0"/>
              <w:jc w:val="center"/>
            </w:pPr>
            <w:r>
              <w:rPr>
                <w:sz w:val="20"/>
              </w:rPr>
              <w:t xml:space="preserve">20</w:t>
            </w:r>
          </w:p>
        </w:tc>
        <w:tc>
          <w:tcPr>
            <w:vMerge w:val="continue"/>
          </w:tcPr>
          <w:p/>
        </w:tc>
      </w:tr>
      <w:tr>
        <w:tc>
          <w:tcPr>
            <w:vMerge w:val="continue"/>
          </w:tcPr>
          <w:p/>
        </w:tc>
        <w:tc>
          <w:tcPr>
            <w:vMerge w:val="continue"/>
          </w:tcPr>
          <w:p/>
        </w:tc>
        <w:tc>
          <w:tcPr>
            <w:tcW w:w="3005" w:type="dxa"/>
          </w:tcPr>
          <w:p>
            <w:pPr>
              <w:pStyle w:val="0"/>
            </w:pPr>
            <w:r>
              <w:rPr>
                <w:sz w:val="20"/>
              </w:rPr>
              <w:t xml:space="preserve">Работа организации на платформе </w:t>
            </w:r>
            <w:hyperlink w:history="0" r:id="rId36">
              <w:r>
                <w:rPr>
                  <w:sz w:val="20"/>
                  <w:color w:val="0000ff"/>
                </w:rPr>
                <w:t xml:space="preserve">Добро.рф</w:t>
              </w:r>
            </w:hyperlink>
          </w:p>
        </w:tc>
        <w:tc>
          <w:tcPr>
            <w:tcW w:w="1020" w:type="dxa"/>
          </w:tcPr>
          <w:p>
            <w:pPr>
              <w:pStyle w:val="0"/>
              <w:jc w:val="center"/>
            </w:pPr>
            <w:r>
              <w:rPr>
                <w:sz w:val="20"/>
              </w:rPr>
              <w:t xml:space="preserve">20</w:t>
            </w:r>
          </w:p>
        </w:tc>
        <w:tc>
          <w:tcPr>
            <w:vMerge w:val="continue"/>
          </w:tcPr>
          <w:p/>
        </w:tc>
      </w:tr>
      <w:tr>
        <w:tc>
          <w:tcPr>
            <w:tcW w:w="624" w:type="dxa"/>
            <w:tcBorders>
              <w:bottom w:val="nil"/>
            </w:tcBorders>
            <w:vMerge w:val="restart"/>
          </w:tcPr>
          <w:p>
            <w:pPr>
              <w:pStyle w:val="0"/>
            </w:pPr>
            <w:r>
              <w:rPr>
                <w:sz w:val="20"/>
              </w:rPr>
              <w:t xml:space="preserve">2.</w:t>
            </w:r>
          </w:p>
        </w:tc>
        <w:tc>
          <w:tcPr>
            <w:tcW w:w="4365" w:type="dxa"/>
            <w:tcBorders>
              <w:bottom w:val="nil"/>
            </w:tcBorders>
            <w:vMerge w:val="restart"/>
          </w:tcPr>
          <w:p>
            <w:pPr>
              <w:pStyle w:val="0"/>
            </w:pPr>
            <w:r>
              <w:rPr>
                <w:sz w:val="20"/>
              </w:rPr>
              <w:t xml:space="preserve">Продолжительность деятельности организации по развитию добровольчества</w:t>
            </w:r>
          </w:p>
        </w:tc>
        <w:tc>
          <w:tcPr>
            <w:tcW w:w="3005" w:type="dxa"/>
          </w:tcPr>
          <w:p>
            <w:pPr>
              <w:pStyle w:val="0"/>
            </w:pPr>
            <w:r>
              <w:rPr>
                <w:sz w:val="20"/>
              </w:rPr>
              <w:t xml:space="preserve">Опыт организации по развитию добровольчества до 1 года</w:t>
            </w:r>
          </w:p>
        </w:tc>
        <w:tc>
          <w:tcPr>
            <w:tcW w:w="1020" w:type="dxa"/>
          </w:tcPr>
          <w:p>
            <w:pPr>
              <w:pStyle w:val="0"/>
              <w:jc w:val="center"/>
            </w:pPr>
            <w:r>
              <w:rPr>
                <w:sz w:val="20"/>
              </w:rPr>
              <w:t xml:space="preserve">10</w:t>
            </w:r>
          </w:p>
        </w:tc>
        <w:tc>
          <w:tcPr>
            <w:tcW w:w="1361" w:type="dxa"/>
            <w:tcBorders>
              <w:bottom w:val="nil"/>
            </w:tcBorders>
            <w:vMerge w:val="restart"/>
          </w:tcPr>
          <w:p>
            <w:pPr>
              <w:pStyle w:val="0"/>
              <w:jc w:val="center"/>
            </w:pPr>
            <w:r>
              <w:rPr>
                <w:sz w:val="20"/>
              </w:rPr>
              <w:t xml:space="preserve">10</w:t>
            </w:r>
          </w:p>
        </w:tc>
      </w:tr>
      <w:tr>
        <w:tc>
          <w:tcPr>
            <w:tcBorders>
              <w:bottom w:val="nil"/>
            </w:tcBorders>
            <w:vMerge w:val="continue"/>
          </w:tcPr>
          <w:p/>
        </w:tc>
        <w:tc>
          <w:tcPr>
            <w:tcBorders>
              <w:bottom w:val="nil"/>
            </w:tcBorders>
            <w:vMerge w:val="continue"/>
          </w:tcPr>
          <w:p/>
        </w:tc>
        <w:tc>
          <w:tcPr>
            <w:tcW w:w="3005" w:type="dxa"/>
          </w:tcPr>
          <w:p>
            <w:pPr>
              <w:pStyle w:val="0"/>
            </w:pPr>
            <w:r>
              <w:rPr>
                <w:sz w:val="20"/>
              </w:rPr>
              <w:t xml:space="preserve">Опыт организации по развитию добровольчества до 2 лет</w:t>
            </w:r>
          </w:p>
        </w:tc>
        <w:tc>
          <w:tcPr>
            <w:tcW w:w="1020" w:type="dxa"/>
          </w:tcPr>
          <w:p>
            <w:pPr>
              <w:pStyle w:val="0"/>
              <w:jc w:val="center"/>
            </w:pPr>
            <w:r>
              <w:rPr>
                <w:sz w:val="20"/>
              </w:rPr>
              <w:t xml:space="preserve">30</w:t>
            </w:r>
          </w:p>
        </w:tc>
        <w:tc>
          <w:tcPr>
            <w:tcBorders>
              <w:bottom w:val="nil"/>
            </w:tcBorders>
            <w:vMerge w:val="continue"/>
          </w:tcPr>
          <w:p/>
        </w:tc>
      </w:tr>
      <w:tr>
        <w:tblPrEx>
          <w:tblBorders>
            <w:insideH w:val="nil"/>
          </w:tblBorders>
        </w:tblPrEx>
        <w:tc>
          <w:tcPr>
            <w:tcBorders>
              <w:bottom w:val="nil"/>
            </w:tcBorders>
            <w:vMerge w:val="continue"/>
          </w:tcPr>
          <w:p/>
        </w:tc>
        <w:tc>
          <w:tcPr>
            <w:tcBorders>
              <w:bottom w:val="nil"/>
            </w:tcBorders>
            <w:vMerge w:val="continue"/>
          </w:tcPr>
          <w:p/>
        </w:tc>
        <w:tc>
          <w:tcPr>
            <w:tcW w:w="3005" w:type="dxa"/>
            <w:tcBorders>
              <w:bottom w:val="nil"/>
            </w:tcBorders>
          </w:tcPr>
          <w:p>
            <w:pPr>
              <w:pStyle w:val="0"/>
            </w:pPr>
            <w:r>
              <w:rPr>
                <w:sz w:val="20"/>
              </w:rPr>
              <w:t xml:space="preserve">Опыт организации по развитию добровольчества 3 и более лет</w:t>
            </w:r>
          </w:p>
        </w:tc>
        <w:tc>
          <w:tcPr>
            <w:tcW w:w="1020" w:type="dxa"/>
            <w:tcBorders>
              <w:bottom w:val="nil"/>
            </w:tcBorders>
          </w:tcPr>
          <w:p>
            <w:pPr>
              <w:pStyle w:val="0"/>
              <w:jc w:val="center"/>
            </w:pPr>
            <w:r>
              <w:rPr>
                <w:sz w:val="20"/>
              </w:rPr>
              <w:t xml:space="preserve">60</w:t>
            </w:r>
          </w:p>
        </w:tc>
        <w:tc>
          <w:tcPr>
            <w:tcBorders>
              <w:bottom w:val="nil"/>
            </w:tcBorders>
            <w:vMerge w:val="continue"/>
          </w:tcPr>
          <w:p/>
        </w:tc>
      </w:tr>
      <w:tr>
        <w:tblPrEx>
          <w:tblBorders>
            <w:insideH w:val="nil"/>
          </w:tblBorders>
        </w:tblPrEx>
        <w:tc>
          <w:tcPr>
            <w:gridSpan w:val="5"/>
            <w:tcW w:w="10375" w:type="dxa"/>
            <w:tcBorders>
              <w:top w:val="nil"/>
            </w:tcBorders>
          </w:tcPr>
          <w:p>
            <w:pPr>
              <w:pStyle w:val="0"/>
              <w:jc w:val="both"/>
            </w:pPr>
            <w:r>
              <w:rPr>
                <w:sz w:val="20"/>
              </w:rPr>
              <w:t xml:space="preserve">(п. 2 в ред. </w:t>
            </w:r>
            <w:hyperlink w:history="0" r:id="rId37" w:tooltip="Постановление Правительства Вологодской области от 13.10.2025 N 1405 &quot;О внесении изменений в постановление Правительства области от 26 мая 2025 года N 783&quot; {КонсультантПлюс}">
              <w:r>
                <w:rPr>
                  <w:sz w:val="20"/>
                  <w:color w:val="0000ff"/>
                </w:rPr>
                <w:t xml:space="preserve">постановления</w:t>
              </w:r>
            </w:hyperlink>
            <w:r>
              <w:rPr>
                <w:sz w:val="20"/>
              </w:rPr>
              <w:t xml:space="preserve"> Правительства Вологодской области от 13.10.2025 N 1405)</w:t>
            </w:r>
          </w:p>
        </w:tc>
      </w:tr>
      <w:tr>
        <w:tc>
          <w:tcPr>
            <w:tcW w:w="624" w:type="dxa"/>
            <w:vMerge w:val="restart"/>
          </w:tcPr>
          <w:p>
            <w:pPr>
              <w:pStyle w:val="0"/>
            </w:pPr>
            <w:r>
              <w:rPr>
                <w:sz w:val="20"/>
              </w:rPr>
              <w:t xml:space="preserve">3.</w:t>
            </w:r>
          </w:p>
        </w:tc>
        <w:tc>
          <w:tcPr>
            <w:tcW w:w="4365" w:type="dxa"/>
            <w:vMerge w:val="restart"/>
          </w:tcPr>
          <w:p>
            <w:pPr>
              <w:pStyle w:val="0"/>
            </w:pPr>
            <w:r>
              <w:rPr>
                <w:sz w:val="20"/>
              </w:rPr>
              <w:t xml:space="preserve">Наличие опыта участия организации в добровольческих мероприятиях международного, всероссийского, регионального уровней</w:t>
            </w:r>
          </w:p>
        </w:tc>
        <w:tc>
          <w:tcPr>
            <w:tcW w:w="3005" w:type="dxa"/>
          </w:tcPr>
          <w:p>
            <w:pPr>
              <w:pStyle w:val="0"/>
            </w:pPr>
            <w:r>
              <w:rPr>
                <w:sz w:val="20"/>
              </w:rPr>
              <w:t xml:space="preserve">Участие в региональных добровольческих проектах и программах</w:t>
            </w:r>
          </w:p>
        </w:tc>
        <w:tc>
          <w:tcPr>
            <w:tcW w:w="1020" w:type="dxa"/>
          </w:tcPr>
          <w:p>
            <w:pPr>
              <w:pStyle w:val="0"/>
              <w:jc w:val="center"/>
            </w:pPr>
            <w:r>
              <w:rPr>
                <w:sz w:val="20"/>
              </w:rPr>
              <w:t xml:space="preserve">20</w:t>
            </w:r>
          </w:p>
        </w:tc>
        <w:tc>
          <w:tcPr>
            <w:tcW w:w="1361" w:type="dxa"/>
            <w:vMerge w:val="restart"/>
          </w:tcPr>
          <w:p>
            <w:pPr>
              <w:pStyle w:val="0"/>
              <w:jc w:val="center"/>
            </w:pPr>
            <w:r>
              <w:rPr>
                <w:sz w:val="20"/>
              </w:rPr>
              <w:t xml:space="preserve">10</w:t>
            </w:r>
          </w:p>
        </w:tc>
      </w:tr>
      <w:tr>
        <w:tc>
          <w:tcPr>
            <w:vMerge w:val="continue"/>
          </w:tcPr>
          <w:p/>
        </w:tc>
        <w:tc>
          <w:tcPr>
            <w:vMerge w:val="continue"/>
          </w:tcPr>
          <w:p/>
        </w:tc>
        <w:tc>
          <w:tcPr>
            <w:tcW w:w="3005" w:type="dxa"/>
          </w:tcPr>
          <w:p>
            <w:pPr>
              <w:pStyle w:val="0"/>
            </w:pPr>
            <w:r>
              <w:rPr>
                <w:sz w:val="20"/>
              </w:rPr>
              <w:t xml:space="preserve">Участие во Всероссийской акции взаимопомощи #МЫВМЕСТЕ</w:t>
            </w:r>
          </w:p>
        </w:tc>
        <w:tc>
          <w:tcPr>
            <w:tcW w:w="1020" w:type="dxa"/>
          </w:tcPr>
          <w:p>
            <w:pPr>
              <w:pStyle w:val="0"/>
              <w:jc w:val="center"/>
            </w:pPr>
            <w:r>
              <w:rPr>
                <w:sz w:val="20"/>
              </w:rPr>
              <w:t xml:space="preserve">40</w:t>
            </w:r>
          </w:p>
        </w:tc>
        <w:tc>
          <w:tcPr>
            <w:vMerge w:val="continue"/>
          </w:tcPr>
          <w:p/>
        </w:tc>
      </w:tr>
      <w:tr>
        <w:tc>
          <w:tcPr>
            <w:vMerge w:val="continue"/>
          </w:tcPr>
          <w:p/>
        </w:tc>
        <w:tc>
          <w:tcPr>
            <w:vMerge w:val="continue"/>
          </w:tcPr>
          <w:p/>
        </w:tc>
        <w:tc>
          <w:tcPr>
            <w:tcW w:w="3005" w:type="dxa"/>
          </w:tcPr>
          <w:p>
            <w:pPr>
              <w:pStyle w:val="0"/>
            </w:pPr>
            <w:r>
              <w:rPr>
                <w:sz w:val="20"/>
              </w:rPr>
              <w:t xml:space="preserve">Участие в Международной премии #МЫВМЕСТЕ</w:t>
            </w:r>
          </w:p>
        </w:tc>
        <w:tc>
          <w:tcPr>
            <w:tcW w:w="1020" w:type="dxa"/>
          </w:tcPr>
          <w:p>
            <w:pPr>
              <w:pStyle w:val="0"/>
              <w:jc w:val="center"/>
            </w:pPr>
            <w:r>
              <w:rPr>
                <w:sz w:val="20"/>
              </w:rPr>
              <w:t xml:space="preserve">40</w:t>
            </w:r>
          </w:p>
        </w:tc>
        <w:tc>
          <w:tcPr>
            <w:vMerge w:val="continue"/>
          </w:tcPr>
          <w:p/>
        </w:tc>
      </w:tr>
      <w:tr>
        <w:tc>
          <w:tcPr>
            <w:tcW w:w="624" w:type="dxa"/>
            <w:vMerge w:val="restart"/>
          </w:tcPr>
          <w:p>
            <w:pPr>
              <w:pStyle w:val="0"/>
            </w:pPr>
            <w:r>
              <w:rPr>
                <w:sz w:val="20"/>
              </w:rPr>
              <w:t xml:space="preserve">4.</w:t>
            </w:r>
          </w:p>
        </w:tc>
        <w:tc>
          <w:tcPr>
            <w:tcW w:w="4365" w:type="dxa"/>
            <w:vMerge w:val="restart"/>
          </w:tcPr>
          <w:p>
            <w:pPr>
              <w:pStyle w:val="0"/>
            </w:pPr>
            <w:r>
              <w:rPr>
                <w:sz w:val="20"/>
              </w:rPr>
              <w:t xml:space="preserve">Логическая связность и реализуемость мероприятий практики, запланированных к проведению в процессе функционирования получателя гранта, соответствие мероприятий целям и задачам функционирования получателя гранта, ожидаемым результатам</w:t>
            </w:r>
          </w:p>
        </w:tc>
        <w:tc>
          <w:tcPr>
            <w:tcW w:w="3005" w:type="dxa"/>
          </w:tcPr>
          <w:p>
            <w:pPr>
              <w:pStyle w:val="0"/>
            </w:pPr>
            <w:r>
              <w:rPr>
                <w:sz w:val="20"/>
              </w:rPr>
              <w:t xml:space="preserve">Организационная деятельность</w:t>
            </w:r>
          </w:p>
        </w:tc>
        <w:tc>
          <w:tcPr>
            <w:tcW w:w="1020" w:type="dxa"/>
          </w:tcPr>
          <w:p>
            <w:pPr>
              <w:pStyle w:val="0"/>
              <w:jc w:val="center"/>
            </w:pPr>
            <w:r>
              <w:rPr>
                <w:sz w:val="20"/>
              </w:rPr>
              <w:t xml:space="preserve">20</w:t>
            </w:r>
          </w:p>
        </w:tc>
        <w:tc>
          <w:tcPr>
            <w:tcW w:w="1361" w:type="dxa"/>
            <w:vMerge w:val="restart"/>
          </w:tcPr>
          <w:p>
            <w:pPr>
              <w:pStyle w:val="0"/>
              <w:jc w:val="center"/>
            </w:pPr>
            <w:r>
              <w:rPr>
                <w:sz w:val="20"/>
              </w:rPr>
              <w:t xml:space="preserve">15</w:t>
            </w:r>
          </w:p>
        </w:tc>
      </w:tr>
      <w:tr>
        <w:tc>
          <w:tcPr>
            <w:vMerge w:val="continue"/>
          </w:tcPr>
          <w:p/>
        </w:tc>
        <w:tc>
          <w:tcPr>
            <w:vMerge w:val="continue"/>
          </w:tcPr>
          <w:p/>
        </w:tc>
        <w:tc>
          <w:tcPr>
            <w:tcW w:w="3005" w:type="dxa"/>
          </w:tcPr>
          <w:p>
            <w:pPr>
              <w:pStyle w:val="0"/>
            </w:pPr>
            <w:r>
              <w:rPr>
                <w:sz w:val="20"/>
              </w:rPr>
              <w:t xml:space="preserve">Информационная деятельность</w:t>
            </w:r>
          </w:p>
        </w:tc>
        <w:tc>
          <w:tcPr>
            <w:tcW w:w="1020" w:type="dxa"/>
          </w:tcPr>
          <w:p>
            <w:pPr>
              <w:pStyle w:val="0"/>
              <w:jc w:val="center"/>
            </w:pPr>
            <w:r>
              <w:rPr>
                <w:sz w:val="20"/>
              </w:rPr>
              <w:t xml:space="preserve">30</w:t>
            </w:r>
          </w:p>
        </w:tc>
        <w:tc>
          <w:tcPr>
            <w:vMerge w:val="continue"/>
          </w:tcPr>
          <w:p/>
        </w:tc>
      </w:tr>
      <w:tr>
        <w:tc>
          <w:tcPr>
            <w:vMerge w:val="continue"/>
          </w:tcPr>
          <w:p/>
        </w:tc>
        <w:tc>
          <w:tcPr>
            <w:vMerge w:val="continue"/>
          </w:tcPr>
          <w:p/>
        </w:tc>
        <w:tc>
          <w:tcPr>
            <w:tcW w:w="3005" w:type="dxa"/>
          </w:tcPr>
          <w:p>
            <w:pPr>
              <w:pStyle w:val="0"/>
            </w:pPr>
            <w:r>
              <w:rPr>
                <w:sz w:val="20"/>
              </w:rPr>
              <w:t xml:space="preserve">Целевые мероприятия организации</w:t>
            </w:r>
          </w:p>
        </w:tc>
        <w:tc>
          <w:tcPr>
            <w:tcW w:w="1020" w:type="dxa"/>
          </w:tcPr>
          <w:p>
            <w:pPr>
              <w:pStyle w:val="0"/>
              <w:jc w:val="center"/>
            </w:pPr>
            <w:r>
              <w:rPr>
                <w:sz w:val="20"/>
              </w:rPr>
              <w:t xml:space="preserve">50</w:t>
            </w:r>
          </w:p>
        </w:tc>
        <w:tc>
          <w:tcPr>
            <w:vMerge w:val="continue"/>
          </w:tcPr>
          <w:p/>
        </w:tc>
      </w:tr>
      <w:tr>
        <w:tc>
          <w:tcPr>
            <w:tcW w:w="624" w:type="dxa"/>
            <w:vMerge w:val="restart"/>
          </w:tcPr>
          <w:p>
            <w:pPr>
              <w:pStyle w:val="0"/>
            </w:pPr>
            <w:r>
              <w:rPr>
                <w:sz w:val="20"/>
              </w:rPr>
              <w:t xml:space="preserve">5.</w:t>
            </w:r>
          </w:p>
        </w:tc>
        <w:tc>
          <w:tcPr>
            <w:tcW w:w="4365" w:type="dxa"/>
            <w:vMerge w:val="restart"/>
          </w:tcPr>
          <w:p>
            <w:pPr>
              <w:pStyle w:val="0"/>
            </w:pPr>
            <w:r>
              <w:rPr>
                <w:sz w:val="20"/>
              </w:rPr>
              <w:t xml:space="preserve">Реалистичность бюджета. Соотношение планируемых расходов и ожидаемых результатов, адекватность, измеримость и достижимость таких результатов</w:t>
            </w:r>
          </w:p>
        </w:tc>
        <w:tc>
          <w:tcPr>
            <w:tcW w:w="3005" w:type="dxa"/>
          </w:tcPr>
          <w:p>
            <w:pPr>
              <w:pStyle w:val="0"/>
            </w:pPr>
            <w:r>
              <w:rPr>
                <w:sz w:val="20"/>
              </w:rPr>
              <w:t xml:space="preserve">Обоснованность планируемых расходов</w:t>
            </w:r>
          </w:p>
        </w:tc>
        <w:tc>
          <w:tcPr>
            <w:tcW w:w="1020" w:type="dxa"/>
          </w:tcPr>
          <w:p>
            <w:pPr>
              <w:pStyle w:val="0"/>
              <w:jc w:val="center"/>
            </w:pPr>
            <w:r>
              <w:rPr>
                <w:sz w:val="20"/>
              </w:rPr>
              <w:t xml:space="preserve">20</w:t>
            </w:r>
          </w:p>
        </w:tc>
        <w:tc>
          <w:tcPr>
            <w:tcW w:w="1361" w:type="dxa"/>
            <w:vMerge w:val="restart"/>
          </w:tcPr>
          <w:p>
            <w:pPr>
              <w:pStyle w:val="0"/>
              <w:jc w:val="center"/>
            </w:pPr>
            <w:r>
              <w:rPr>
                <w:sz w:val="20"/>
              </w:rPr>
              <w:t xml:space="preserve">10</w:t>
            </w:r>
          </w:p>
        </w:tc>
      </w:tr>
      <w:tr>
        <w:tc>
          <w:tcPr>
            <w:vMerge w:val="continue"/>
          </w:tcPr>
          <w:p/>
        </w:tc>
        <w:tc>
          <w:tcPr>
            <w:vMerge w:val="continue"/>
          </w:tcPr>
          <w:p/>
        </w:tc>
        <w:tc>
          <w:tcPr>
            <w:tcW w:w="3005" w:type="dxa"/>
          </w:tcPr>
          <w:p>
            <w:pPr>
              <w:pStyle w:val="0"/>
            </w:pPr>
            <w:r>
              <w:rPr>
                <w:sz w:val="20"/>
              </w:rPr>
              <w:t xml:space="preserve">Соответствие планируемых расходов основным мероприятиям в рамках заявки</w:t>
            </w:r>
          </w:p>
        </w:tc>
        <w:tc>
          <w:tcPr>
            <w:tcW w:w="1020" w:type="dxa"/>
          </w:tcPr>
          <w:p>
            <w:pPr>
              <w:pStyle w:val="0"/>
              <w:jc w:val="center"/>
            </w:pPr>
            <w:r>
              <w:rPr>
                <w:sz w:val="20"/>
              </w:rPr>
              <w:t xml:space="preserve">30</w:t>
            </w:r>
          </w:p>
        </w:tc>
        <w:tc>
          <w:tcPr>
            <w:vMerge w:val="continue"/>
          </w:tcPr>
          <w:p/>
        </w:tc>
      </w:tr>
      <w:tr>
        <w:tc>
          <w:tcPr>
            <w:vMerge w:val="continue"/>
          </w:tcPr>
          <w:p/>
        </w:tc>
        <w:tc>
          <w:tcPr>
            <w:vMerge w:val="continue"/>
          </w:tcPr>
          <w:p/>
        </w:tc>
        <w:tc>
          <w:tcPr>
            <w:tcW w:w="3005" w:type="dxa"/>
          </w:tcPr>
          <w:p>
            <w:pPr>
              <w:pStyle w:val="0"/>
            </w:pPr>
            <w:r>
              <w:rPr>
                <w:sz w:val="20"/>
              </w:rPr>
              <w:t xml:space="preserve">Измеримость и достижимость результата</w:t>
            </w:r>
          </w:p>
        </w:tc>
        <w:tc>
          <w:tcPr>
            <w:tcW w:w="1020" w:type="dxa"/>
          </w:tcPr>
          <w:p>
            <w:pPr>
              <w:pStyle w:val="0"/>
              <w:jc w:val="center"/>
            </w:pPr>
            <w:r>
              <w:rPr>
                <w:sz w:val="20"/>
              </w:rPr>
              <w:t xml:space="preserve">50</w:t>
            </w:r>
          </w:p>
        </w:tc>
        <w:tc>
          <w:tcPr>
            <w:vMerge w:val="continue"/>
          </w:tcPr>
          <w:p/>
        </w:tc>
      </w:tr>
      <w:tr>
        <w:tc>
          <w:tcPr>
            <w:tcW w:w="624" w:type="dxa"/>
            <w:vMerge w:val="restart"/>
          </w:tcPr>
          <w:p>
            <w:pPr>
              <w:pStyle w:val="0"/>
            </w:pPr>
            <w:r>
              <w:rPr>
                <w:sz w:val="20"/>
              </w:rPr>
              <w:t xml:space="preserve">6.</w:t>
            </w:r>
          </w:p>
        </w:tc>
        <w:tc>
          <w:tcPr>
            <w:tcW w:w="4365" w:type="dxa"/>
            <w:vMerge w:val="restart"/>
          </w:tcPr>
          <w:p>
            <w:pPr>
              <w:pStyle w:val="0"/>
            </w:pPr>
            <w:r>
              <w:rPr>
                <w:sz w:val="20"/>
              </w:rPr>
              <w:t xml:space="preserve">Информационная открытость (публикации в информационно-телекоммуникационной сети "Интернет")</w:t>
            </w:r>
          </w:p>
        </w:tc>
        <w:tc>
          <w:tcPr>
            <w:tcW w:w="3005" w:type="dxa"/>
          </w:tcPr>
          <w:p>
            <w:pPr>
              <w:pStyle w:val="0"/>
            </w:pPr>
            <w:r>
              <w:rPr>
                <w:sz w:val="20"/>
              </w:rPr>
              <w:t xml:space="preserve">Публикации в социальной сети ВКонтакте (VK) на странице организации</w:t>
            </w:r>
          </w:p>
        </w:tc>
        <w:tc>
          <w:tcPr>
            <w:tcW w:w="1020" w:type="dxa"/>
          </w:tcPr>
          <w:p>
            <w:pPr>
              <w:pStyle w:val="0"/>
              <w:jc w:val="center"/>
            </w:pPr>
            <w:r>
              <w:rPr>
                <w:sz w:val="20"/>
              </w:rPr>
              <w:t xml:space="preserve">20</w:t>
            </w:r>
          </w:p>
        </w:tc>
        <w:tc>
          <w:tcPr>
            <w:tcW w:w="1361" w:type="dxa"/>
            <w:vMerge w:val="restart"/>
          </w:tcPr>
          <w:p>
            <w:pPr>
              <w:pStyle w:val="0"/>
              <w:jc w:val="center"/>
            </w:pPr>
            <w:r>
              <w:rPr>
                <w:sz w:val="20"/>
              </w:rPr>
              <w:t xml:space="preserve">10</w:t>
            </w:r>
          </w:p>
        </w:tc>
      </w:tr>
      <w:tr>
        <w:tc>
          <w:tcPr>
            <w:vMerge w:val="continue"/>
          </w:tcPr>
          <w:p/>
        </w:tc>
        <w:tc>
          <w:tcPr>
            <w:vMerge w:val="continue"/>
          </w:tcPr>
          <w:p/>
        </w:tc>
        <w:tc>
          <w:tcPr>
            <w:tcW w:w="3005" w:type="dxa"/>
          </w:tcPr>
          <w:p>
            <w:pPr>
              <w:pStyle w:val="0"/>
            </w:pPr>
            <w:r>
              <w:rPr>
                <w:sz w:val="20"/>
              </w:rPr>
              <w:t xml:space="preserve">Публикации в ТГ-канале организации</w:t>
            </w:r>
          </w:p>
        </w:tc>
        <w:tc>
          <w:tcPr>
            <w:tcW w:w="1020" w:type="dxa"/>
          </w:tcPr>
          <w:p>
            <w:pPr>
              <w:pStyle w:val="0"/>
              <w:jc w:val="center"/>
            </w:pPr>
            <w:r>
              <w:rPr>
                <w:sz w:val="20"/>
              </w:rPr>
              <w:t xml:space="preserve">20</w:t>
            </w:r>
          </w:p>
        </w:tc>
        <w:tc>
          <w:tcPr>
            <w:vMerge w:val="continue"/>
          </w:tcPr>
          <w:p/>
        </w:tc>
      </w:tr>
      <w:tr>
        <w:tc>
          <w:tcPr>
            <w:vMerge w:val="continue"/>
          </w:tcPr>
          <w:p/>
        </w:tc>
        <w:tc>
          <w:tcPr>
            <w:vMerge w:val="continue"/>
          </w:tcPr>
          <w:p/>
        </w:tc>
        <w:tc>
          <w:tcPr>
            <w:tcW w:w="3005" w:type="dxa"/>
          </w:tcPr>
          <w:p>
            <w:pPr>
              <w:pStyle w:val="0"/>
            </w:pPr>
            <w:r>
              <w:rPr>
                <w:sz w:val="20"/>
              </w:rPr>
              <w:t xml:space="preserve">Размещение информации на официальных пабликах, веб-сайтах партнеров</w:t>
            </w:r>
          </w:p>
        </w:tc>
        <w:tc>
          <w:tcPr>
            <w:tcW w:w="1020" w:type="dxa"/>
          </w:tcPr>
          <w:p>
            <w:pPr>
              <w:pStyle w:val="0"/>
              <w:jc w:val="center"/>
            </w:pPr>
            <w:r>
              <w:rPr>
                <w:sz w:val="20"/>
              </w:rPr>
              <w:t xml:space="preserve">30</w:t>
            </w:r>
          </w:p>
        </w:tc>
        <w:tc>
          <w:tcPr>
            <w:vMerge w:val="continue"/>
          </w:tcPr>
          <w:p/>
        </w:tc>
      </w:tr>
      <w:tr>
        <w:tc>
          <w:tcPr>
            <w:vMerge w:val="continue"/>
          </w:tcPr>
          <w:p/>
        </w:tc>
        <w:tc>
          <w:tcPr>
            <w:vMerge w:val="continue"/>
          </w:tcPr>
          <w:p/>
        </w:tc>
        <w:tc>
          <w:tcPr>
            <w:tcW w:w="3005" w:type="dxa"/>
          </w:tcPr>
          <w:p>
            <w:pPr>
              <w:pStyle w:val="0"/>
            </w:pPr>
            <w:r>
              <w:rPr>
                <w:sz w:val="20"/>
              </w:rPr>
              <w:t xml:space="preserve">Размещение информации на телевидении, радио</w:t>
            </w:r>
          </w:p>
        </w:tc>
        <w:tc>
          <w:tcPr>
            <w:tcW w:w="1020" w:type="dxa"/>
          </w:tcPr>
          <w:p>
            <w:pPr>
              <w:pStyle w:val="0"/>
              <w:jc w:val="center"/>
            </w:pPr>
            <w:r>
              <w:rPr>
                <w:sz w:val="20"/>
              </w:rPr>
              <w:t xml:space="preserve">30</w:t>
            </w:r>
          </w:p>
        </w:tc>
        <w:tc>
          <w:tcPr>
            <w:vMerge w:val="continue"/>
          </w:tcPr>
          <w:p/>
        </w:tc>
      </w:tr>
      <w:tr>
        <w:tc>
          <w:tcPr>
            <w:tcW w:w="624" w:type="dxa"/>
            <w:vMerge w:val="restart"/>
          </w:tcPr>
          <w:p>
            <w:pPr>
              <w:pStyle w:val="0"/>
            </w:pPr>
            <w:r>
              <w:rPr>
                <w:sz w:val="20"/>
              </w:rPr>
              <w:t xml:space="preserve">7.</w:t>
            </w:r>
          </w:p>
        </w:tc>
        <w:tc>
          <w:tcPr>
            <w:tcW w:w="4365" w:type="dxa"/>
            <w:vMerge w:val="restart"/>
          </w:tcPr>
          <w:p>
            <w:pPr>
              <w:pStyle w:val="0"/>
            </w:pPr>
            <w:r>
              <w:rPr>
                <w:sz w:val="20"/>
              </w:rPr>
              <w:t xml:space="preserve">Количество граждан, вовлеченных в добровольческую деятельность в рамках реализации практики</w:t>
            </w:r>
          </w:p>
        </w:tc>
        <w:tc>
          <w:tcPr>
            <w:tcW w:w="3005" w:type="dxa"/>
          </w:tcPr>
          <w:p>
            <w:pPr>
              <w:pStyle w:val="0"/>
            </w:pPr>
            <w:r>
              <w:rPr>
                <w:sz w:val="20"/>
              </w:rPr>
              <w:t xml:space="preserve">Понимание целевой аудитории и охват</w:t>
            </w:r>
          </w:p>
        </w:tc>
        <w:tc>
          <w:tcPr>
            <w:tcW w:w="1020" w:type="dxa"/>
          </w:tcPr>
          <w:p>
            <w:pPr>
              <w:pStyle w:val="0"/>
              <w:jc w:val="center"/>
            </w:pPr>
            <w:r>
              <w:rPr>
                <w:sz w:val="20"/>
              </w:rPr>
              <w:t xml:space="preserve">20</w:t>
            </w:r>
          </w:p>
        </w:tc>
        <w:tc>
          <w:tcPr>
            <w:tcW w:w="1361" w:type="dxa"/>
            <w:vMerge w:val="restart"/>
          </w:tcPr>
          <w:p>
            <w:pPr>
              <w:pStyle w:val="0"/>
              <w:jc w:val="center"/>
            </w:pPr>
            <w:r>
              <w:rPr>
                <w:sz w:val="20"/>
              </w:rPr>
              <w:t xml:space="preserve">10</w:t>
            </w:r>
          </w:p>
        </w:tc>
      </w:tr>
      <w:tr>
        <w:tc>
          <w:tcPr>
            <w:vMerge w:val="continue"/>
          </w:tcPr>
          <w:p/>
        </w:tc>
        <w:tc>
          <w:tcPr>
            <w:vMerge w:val="continue"/>
          </w:tcPr>
          <w:p/>
        </w:tc>
        <w:tc>
          <w:tcPr>
            <w:tcW w:w="3005" w:type="dxa"/>
          </w:tcPr>
          <w:p>
            <w:pPr>
              <w:pStyle w:val="0"/>
            </w:pPr>
            <w:r>
              <w:rPr>
                <w:sz w:val="20"/>
              </w:rPr>
              <w:t xml:space="preserve">Охват участников на системной основе</w:t>
            </w:r>
          </w:p>
        </w:tc>
        <w:tc>
          <w:tcPr>
            <w:tcW w:w="1020" w:type="dxa"/>
          </w:tcPr>
          <w:p>
            <w:pPr>
              <w:pStyle w:val="0"/>
              <w:jc w:val="center"/>
            </w:pPr>
            <w:r>
              <w:rPr>
                <w:sz w:val="20"/>
              </w:rPr>
              <w:t xml:space="preserve">20</w:t>
            </w:r>
          </w:p>
        </w:tc>
        <w:tc>
          <w:tcPr>
            <w:vMerge w:val="continue"/>
          </w:tcPr>
          <w:p/>
        </w:tc>
      </w:tr>
      <w:tr>
        <w:tc>
          <w:tcPr>
            <w:vMerge w:val="continue"/>
          </w:tcPr>
          <w:p/>
        </w:tc>
        <w:tc>
          <w:tcPr>
            <w:vMerge w:val="continue"/>
          </w:tcPr>
          <w:p/>
        </w:tc>
        <w:tc>
          <w:tcPr>
            <w:tcW w:w="3005" w:type="dxa"/>
          </w:tcPr>
          <w:p>
            <w:pPr>
              <w:pStyle w:val="0"/>
            </w:pPr>
            <w:r>
              <w:rPr>
                <w:sz w:val="20"/>
              </w:rPr>
              <w:t xml:space="preserve">Охват участников с разовым участием</w:t>
            </w:r>
          </w:p>
        </w:tc>
        <w:tc>
          <w:tcPr>
            <w:tcW w:w="1020" w:type="dxa"/>
          </w:tcPr>
          <w:p>
            <w:pPr>
              <w:pStyle w:val="0"/>
              <w:jc w:val="center"/>
            </w:pPr>
            <w:r>
              <w:rPr>
                <w:sz w:val="20"/>
              </w:rPr>
              <w:t xml:space="preserve">20</w:t>
            </w:r>
          </w:p>
        </w:tc>
        <w:tc>
          <w:tcPr>
            <w:vMerge w:val="continue"/>
          </w:tcPr>
          <w:p/>
        </w:tc>
      </w:tr>
      <w:tr>
        <w:tc>
          <w:tcPr>
            <w:vMerge w:val="continue"/>
          </w:tcPr>
          <w:p/>
        </w:tc>
        <w:tc>
          <w:tcPr>
            <w:vMerge w:val="continue"/>
          </w:tcPr>
          <w:p/>
        </w:tc>
        <w:tc>
          <w:tcPr>
            <w:tcW w:w="3005" w:type="dxa"/>
          </w:tcPr>
          <w:p>
            <w:pPr>
              <w:pStyle w:val="0"/>
            </w:pPr>
            <w:r>
              <w:rPr>
                <w:sz w:val="20"/>
              </w:rPr>
              <w:t xml:space="preserve">Соответствие оценки планового охвата участников поставленным целям проекта</w:t>
            </w:r>
          </w:p>
        </w:tc>
        <w:tc>
          <w:tcPr>
            <w:tcW w:w="1020" w:type="dxa"/>
          </w:tcPr>
          <w:p>
            <w:pPr>
              <w:pStyle w:val="0"/>
              <w:jc w:val="center"/>
            </w:pPr>
            <w:r>
              <w:rPr>
                <w:sz w:val="20"/>
              </w:rPr>
              <w:t xml:space="preserve">20</w:t>
            </w:r>
          </w:p>
        </w:tc>
        <w:tc>
          <w:tcPr>
            <w:vMerge w:val="continue"/>
          </w:tcPr>
          <w:p/>
        </w:tc>
      </w:tr>
      <w:tr>
        <w:tc>
          <w:tcPr>
            <w:vMerge w:val="continue"/>
          </w:tcPr>
          <w:p/>
        </w:tc>
        <w:tc>
          <w:tcPr>
            <w:vMerge w:val="continue"/>
          </w:tcPr>
          <w:p/>
        </w:tc>
        <w:tc>
          <w:tcPr>
            <w:tcW w:w="3005" w:type="dxa"/>
          </w:tcPr>
          <w:p>
            <w:pPr>
              <w:pStyle w:val="0"/>
            </w:pPr>
            <w:r>
              <w:rPr>
                <w:sz w:val="20"/>
              </w:rPr>
              <w:t xml:space="preserve">Наличие массовых мероприятий</w:t>
            </w:r>
          </w:p>
        </w:tc>
        <w:tc>
          <w:tcPr>
            <w:tcW w:w="1020" w:type="dxa"/>
          </w:tcPr>
          <w:p>
            <w:pPr>
              <w:pStyle w:val="0"/>
              <w:jc w:val="center"/>
            </w:pPr>
            <w:r>
              <w:rPr>
                <w:sz w:val="20"/>
              </w:rPr>
              <w:t xml:space="preserve">20</w:t>
            </w:r>
          </w:p>
        </w:tc>
        <w:tc>
          <w:tcPr>
            <w:vMerge w:val="continue"/>
          </w:tcPr>
          <w:p/>
        </w:tc>
      </w:tr>
      <w:tr>
        <w:tc>
          <w:tcPr>
            <w:tcW w:w="624" w:type="dxa"/>
            <w:vMerge w:val="restart"/>
          </w:tcPr>
          <w:p>
            <w:pPr>
              <w:pStyle w:val="0"/>
            </w:pPr>
            <w:r>
              <w:rPr>
                <w:sz w:val="20"/>
              </w:rPr>
              <w:t xml:space="preserve">8.</w:t>
            </w:r>
          </w:p>
        </w:tc>
        <w:tc>
          <w:tcPr>
            <w:tcW w:w="4365" w:type="dxa"/>
            <w:vMerge w:val="restart"/>
          </w:tcPr>
          <w:p>
            <w:pPr>
              <w:pStyle w:val="0"/>
            </w:pPr>
            <w:r>
              <w:rPr>
                <w:sz w:val="20"/>
              </w:rPr>
              <w:t xml:space="preserve">Количество добровольцев (волонтеров), включенных в реализацию практики</w:t>
            </w:r>
          </w:p>
        </w:tc>
        <w:tc>
          <w:tcPr>
            <w:tcW w:w="3005" w:type="dxa"/>
          </w:tcPr>
          <w:p>
            <w:pPr>
              <w:pStyle w:val="0"/>
            </w:pPr>
            <w:r>
              <w:rPr>
                <w:sz w:val="20"/>
              </w:rPr>
              <w:t xml:space="preserve">Соответствие количества добровольцев (волонтеров) поставленным целям практики</w:t>
            </w:r>
          </w:p>
        </w:tc>
        <w:tc>
          <w:tcPr>
            <w:tcW w:w="1020" w:type="dxa"/>
          </w:tcPr>
          <w:p>
            <w:pPr>
              <w:pStyle w:val="0"/>
              <w:jc w:val="center"/>
            </w:pPr>
            <w:r>
              <w:rPr>
                <w:sz w:val="20"/>
              </w:rPr>
              <w:t xml:space="preserve">30</w:t>
            </w:r>
          </w:p>
        </w:tc>
        <w:tc>
          <w:tcPr>
            <w:tcW w:w="1361" w:type="dxa"/>
            <w:vMerge w:val="restart"/>
          </w:tcPr>
          <w:p>
            <w:pPr>
              <w:pStyle w:val="0"/>
              <w:jc w:val="center"/>
            </w:pPr>
            <w:r>
              <w:rPr>
                <w:sz w:val="20"/>
              </w:rPr>
              <w:t xml:space="preserve">10</w:t>
            </w:r>
          </w:p>
        </w:tc>
      </w:tr>
      <w:tr>
        <w:tc>
          <w:tcPr>
            <w:vMerge w:val="continue"/>
          </w:tcPr>
          <w:p/>
        </w:tc>
        <w:tc>
          <w:tcPr>
            <w:vMerge w:val="continue"/>
          </w:tcPr>
          <w:p/>
        </w:tc>
        <w:tc>
          <w:tcPr>
            <w:tcW w:w="3005" w:type="dxa"/>
          </w:tcPr>
          <w:p>
            <w:pPr>
              <w:pStyle w:val="0"/>
            </w:pPr>
            <w:r>
              <w:rPr>
                <w:sz w:val="20"/>
              </w:rPr>
              <w:t xml:space="preserve">Учет специализации добровольцев</w:t>
            </w:r>
          </w:p>
        </w:tc>
        <w:tc>
          <w:tcPr>
            <w:tcW w:w="1020" w:type="dxa"/>
          </w:tcPr>
          <w:p>
            <w:pPr>
              <w:pStyle w:val="0"/>
              <w:jc w:val="center"/>
            </w:pPr>
            <w:r>
              <w:rPr>
                <w:sz w:val="20"/>
              </w:rPr>
              <w:t xml:space="preserve">30</w:t>
            </w:r>
          </w:p>
        </w:tc>
        <w:tc>
          <w:tcPr>
            <w:vMerge w:val="continue"/>
          </w:tcPr>
          <w:p/>
        </w:tc>
      </w:tr>
      <w:tr>
        <w:tc>
          <w:tcPr>
            <w:vMerge w:val="continue"/>
          </w:tcPr>
          <w:p/>
        </w:tc>
        <w:tc>
          <w:tcPr>
            <w:vMerge w:val="continue"/>
          </w:tcPr>
          <w:p/>
        </w:tc>
        <w:tc>
          <w:tcPr>
            <w:tcW w:w="3005" w:type="dxa"/>
          </w:tcPr>
          <w:p>
            <w:pPr>
              <w:pStyle w:val="0"/>
            </w:pPr>
            <w:r>
              <w:rPr>
                <w:sz w:val="20"/>
              </w:rPr>
              <w:t xml:space="preserve">Наличие опыта добровольческих практик</w:t>
            </w:r>
          </w:p>
        </w:tc>
        <w:tc>
          <w:tcPr>
            <w:tcW w:w="1020" w:type="dxa"/>
          </w:tcPr>
          <w:p>
            <w:pPr>
              <w:pStyle w:val="0"/>
              <w:jc w:val="center"/>
            </w:pPr>
            <w:r>
              <w:rPr>
                <w:sz w:val="20"/>
              </w:rPr>
              <w:t xml:space="preserve">40</w:t>
            </w:r>
          </w:p>
        </w:tc>
        <w:tc>
          <w:tcPr>
            <w:vMerge w:val="continue"/>
          </w:tcPr>
          <w:p/>
        </w:tc>
      </w:tr>
      <w:tr>
        <w:tc>
          <w:tcPr>
            <w:tcW w:w="624" w:type="dxa"/>
            <w:vMerge w:val="restart"/>
          </w:tcPr>
          <w:p>
            <w:pPr>
              <w:pStyle w:val="0"/>
            </w:pPr>
            <w:r>
              <w:rPr>
                <w:sz w:val="20"/>
              </w:rPr>
              <w:t xml:space="preserve">9.</w:t>
            </w:r>
          </w:p>
        </w:tc>
        <w:tc>
          <w:tcPr>
            <w:tcW w:w="4365" w:type="dxa"/>
            <w:vMerge w:val="restart"/>
          </w:tcPr>
          <w:p>
            <w:pPr>
              <w:pStyle w:val="0"/>
            </w:pPr>
            <w:r>
              <w:rPr>
                <w:sz w:val="20"/>
              </w:rPr>
              <w:t xml:space="preserve">Перспектива развития и потенциал организации</w:t>
            </w:r>
          </w:p>
        </w:tc>
        <w:tc>
          <w:tcPr>
            <w:tcW w:w="3005" w:type="dxa"/>
          </w:tcPr>
          <w:p>
            <w:pPr>
              <w:pStyle w:val="0"/>
            </w:pPr>
            <w:r>
              <w:rPr>
                <w:sz w:val="20"/>
              </w:rPr>
              <w:t xml:space="preserve">Наличие опыта привлечения финансовой поддержки на развитие деятельности организации</w:t>
            </w:r>
          </w:p>
        </w:tc>
        <w:tc>
          <w:tcPr>
            <w:tcW w:w="1020" w:type="dxa"/>
          </w:tcPr>
          <w:p>
            <w:pPr>
              <w:pStyle w:val="0"/>
              <w:jc w:val="center"/>
            </w:pPr>
            <w:r>
              <w:rPr>
                <w:sz w:val="20"/>
              </w:rPr>
              <w:t xml:space="preserve">40</w:t>
            </w:r>
          </w:p>
        </w:tc>
        <w:tc>
          <w:tcPr>
            <w:tcW w:w="1361" w:type="dxa"/>
            <w:vMerge w:val="restart"/>
          </w:tcPr>
          <w:p>
            <w:pPr>
              <w:pStyle w:val="0"/>
              <w:jc w:val="center"/>
            </w:pPr>
            <w:r>
              <w:rPr>
                <w:sz w:val="20"/>
              </w:rPr>
              <w:t xml:space="preserve">10</w:t>
            </w:r>
          </w:p>
        </w:tc>
      </w:tr>
      <w:tr>
        <w:tc>
          <w:tcPr>
            <w:vMerge w:val="continue"/>
          </w:tcPr>
          <w:p/>
        </w:tc>
        <w:tc>
          <w:tcPr>
            <w:vMerge w:val="continue"/>
          </w:tcPr>
          <w:p/>
        </w:tc>
        <w:tc>
          <w:tcPr>
            <w:tcW w:w="3005" w:type="dxa"/>
          </w:tcPr>
          <w:p>
            <w:pPr>
              <w:pStyle w:val="0"/>
            </w:pPr>
            <w:r>
              <w:rPr>
                <w:sz w:val="20"/>
              </w:rPr>
              <w:t xml:space="preserve">Наличие перспективы развития организации</w:t>
            </w:r>
          </w:p>
        </w:tc>
        <w:tc>
          <w:tcPr>
            <w:tcW w:w="1020" w:type="dxa"/>
          </w:tcPr>
          <w:p>
            <w:pPr>
              <w:pStyle w:val="0"/>
              <w:jc w:val="center"/>
            </w:pPr>
            <w:r>
              <w:rPr>
                <w:sz w:val="20"/>
              </w:rPr>
              <w:t xml:space="preserve">30</w:t>
            </w:r>
          </w:p>
        </w:tc>
        <w:tc>
          <w:tcPr>
            <w:vMerge w:val="continue"/>
          </w:tcPr>
          <w:p/>
        </w:tc>
      </w:tr>
      <w:tr>
        <w:tc>
          <w:tcPr>
            <w:vMerge w:val="continue"/>
          </w:tcPr>
          <w:p/>
        </w:tc>
        <w:tc>
          <w:tcPr>
            <w:vMerge w:val="continue"/>
          </w:tcPr>
          <w:p/>
        </w:tc>
        <w:tc>
          <w:tcPr>
            <w:tcW w:w="3005" w:type="dxa"/>
          </w:tcPr>
          <w:p>
            <w:pPr>
              <w:pStyle w:val="0"/>
            </w:pPr>
            <w:r>
              <w:rPr>
                <w:sz w:val="20"/>
              </w:rPr>
              <w:t xml:space="preserve">Транслируемость и адаптируемость практики</w:t>
            </w:r>
          </w:p>
        </w:tc>
        <w:tc>
          <w:tcPr>
            <w:tcW w:w="1020" w:type="dxa"/>
          </w:tcPr>
          <w:p>
            <w:pPr>
              <w:pStyle w:val="0"/>
              <w:jc w:val="center"/>
            </w:pPr>
            <w:r>
              <w:rPr>
                <w:sz w:val="20"/>
              </w:rPr>
              <w:t xml:space="preserve">30</w:t>
            </w:r>
          </w:p>
        </w:tc>
        <w:tc>
          <w:tcPr>
            <w:vMerge w:val="continue"/>
          </w:tcPr>
          <w:p/>
        </w:tc>
      </w:tr>
      <w:tr>
        <w:tc>
          <w:tcPr>
            <w:tcW w:w="624" w:type="dxa"/>
          </w:tcPr>
          <w:p>
            <w:pPr>
              <w:pStyle w:val="0"/>
            </w:pPr>
            <w:r>
              <w:rPr>
                <w:sz w:val="20"/>
              </w:rPr>
            </w:r>
          </w:p>
        </w:tc>
        <w:tc>
          <w:tcPr>
            <w:tcW w:w="4365" w:type="dxa"/>
          </w:tcPr>
          <w:p>
            <w:pPr>
              <w:pStyle w:val="0"/>
            </w:pPr>
            <w:r>
              <w:rPr>
                <w:sz w:val="20"/>
              </w:rPr>
            </w:r>
          </w:p>
        </w:tc>
        <w:tc>
          <w:tcPr>
            <w:tcW w:w="3005" w:type="dxa"/>
          </w:tcPr>
          <w:p>
            <w:pPr>
              <w:pStyle w:val="0"/>
            </w:pPr>
            <w:r>
              <w:rPr>
                <w:sz w:val="20"/>
              </w:rPr>
            </w:r>
          </w:p>
        </w:tc>
        <w:tc>
          <w:tcPr>
            <w:tcW w:w="1020" w:type="dxa"/>
          </w:tcPr>
          <w:p>
            <w:pPr>
              <w:pStyle w:val="0"/>
            </w:pPr>
            <w:r>
              <w:rPr>
                <w:sz w:val="20"/>
              </w:rPr>
            </w:r>
          </w:p>
        </w:tc>
        <w:tc>
          <w:tcPr>
            <w:tcW w:w="1361" w:type="dxa"/>
          </w:tcPr>
          <w:p>
            <w:pPr>
              <w:pStyle w:val="0"/>
              <w:jc w:val="center"/>
            </w:pPr>
            <w:r>
              <w:rPr>
                <w:sz w:val="20"/>
              </w:rPr>
              <w:t xml:space="preserve">100</w:t>
            </w:r>
          </w:p>
        </w:tc>
      </w:tr>
    </w:tbl>
    <w:p>
      <w:pPr>
        <w:sectPr>
          <w:headerReference w:type="default" r:id="rId34"/>
          <w:headerReference w:type="first" r:id="rId34"/>
          <w:footerReference w:type="default" r:id="rId35"/>
          <w:footerReference w:type="first" r:id="rId35"/>
          <w:pgSz w:w="16838" w:h="11906" w:orient="landscape"/>
          <w:pgMar w:top="1133" w:right="1440" w:bottom="566" w:left="1440" w:header="0" w:footer="0" w:gutter="0"/>
          <w:titlePg/>
        </w:sectPr>
      </w:pPr>
    </w:p>
    <w:p>
      <w:pPr>
        <w:pStyle w:val="0"/>
        <w:jc w:val="both"/>
      </w:pPr>
      <w:r>
        <w:rPr>
          <w:sz w:val="20"/>
        </w:rPr>
      </w:r>
    </w:p>
    <w:p>
      <w:pPr>
        <w:pStyle w:val="0"/>
        <w:ind w:firstLine="540"/>
        <w:jc w:val="both"/>
      </w:pPr>
      <w:r>
        <w:rPr>
          <w:sz w:val="20"/>
        </w:rPr>
        <w:t xml:space="preserve">3.8. В течение 5 рабочих дней по истечении срока рассмотрения конкурсной комиссией заявок уполномоченный орган составляет рейтинг заявок по средним баллам (от максимального к минимальному значению) и организует проведение заседания конкурсной комиссии.</w:t>
      </w:r>
    </w:p>
    <w:p>
      <w:pPr>
        <w:pStyle w:val="0"/>
        <w:spacing w:before="200" w:lineRule="auto"/>
        <w:ind w:firstLine="540"/>
        <w:jc w:val="both"/>
      </w:pPr>
      <w:r>
        <w:rPr>
          <w:sz w:val="20"/>
        </w:rPr>
        <w:t xml:space="preserve">3.9. Конкурсная комиссия определяет результаты отбора посредством утверждения рейтинга участников отбора и дает предложения о распределении средств гранта либо об отказе в предоставлении гранта по основаниям, предусмотренным в </w:t>
      </w:r>
      <w:hyperlink w:history="0" w:anchor="P309" w:tooltip="3.11. Основаниями для отказа в предоставлении гранта являются:">
        <w:r>
          <w:rPr>
            <w:sz w:val="20"/>
            <w:color w:val="0000ff"/>
          </w:rPr>
          <w:t xml:space="preserve">пункте 3.11</w:t>
        </w:r>
      </w:hyperlink>
      <w:r>
        <w:rPr>
          <w:sz w:val="20"/>
        </w:rPr>
        <w:t xml:space="preserve"> настоящего Порядка.</w:t>
      </w:r>
    </w:p>
    <w:p>
      <w:pPr>
        <w:pStyle w:val="0"/>
        <w:spacing w:before="200" w:lineRule="auto"/>
        <w:ind w:firstLine="540"/>
        <w:jc w:val="both"/>
      </w:pPr>
      <w:r>
        <w:rPr>
          <w:sz w:val="20"/>
        </w:rPr>
        <w:t xml:space="preserve">Распределение объема денежных средств, предусмотренного на проведение отбора, осуществляется в соответствии с занимаемыми участниками отбора позициями в рейтинге в последовательности от максимального значения к минимальному и запрашиваемыми размерами гранта, при этом максимальный размер гранта не должен превышать 600 тыс. рублей.</w:t>
      </w:r>
    </w:p>
    <w:bookmarkStart w:id="308" w:name="P308"/>
    <w:bookmarkEnd w:id="308"/>
    <w:p>
      <w:pPr>
        <w:pStyle w:val="0"/>
        <w:spacing w:before="200" w:lineRule="auto"/>
        <w:ind w:firstLine="540"/>
        <w:jc w:val="both"/>
      </w:pPr>
      <w:r>
        <w:rPr>
          <w:sz w:val="20"/>
        </w:rPr>
        <w:t xml:space="preserve">3.10. При образовании остатка бюджетных ассигнований, предусмотренных на предоставление грантов (далее - остаток), размер которого меньше, чем запрашиваемый следующим в рейтинге участником отбора размер гранта (но не менее чем 50% от запрашиваемого объема гранта), конкурсная комиссия предлагает уполномоченному органу предоставить данному участнику отбора грант в размере остатка с возможностью корректировки перечня затрат, содержащегося в описании представленного пакета документов, что отражается в протоколе заседания конкурсной комиссии.</w:t>
      </w:r>
    </w:p>
    <w:bookmarkStart w:id="309" w:name="P309"/>
    <w:bookmarkEnd w:id="309"/>
    <w:p>
      <w:pPr>
        <w:pStyle w:val="0"/>
        <w:spacing w:before="200" w:lineRule="auto"/>
        <w:ind w:firstLine="540"/>
        <w:jc w:val="both"/>
      </w:pPr>
      <w:r>
        <w:rPr>
          <w:sz w:val="20"/>
        </w:rPr>
        <w:t xml:space="preserve">3.11. Основаниями для отказа в предоставлении гранта являются:</w:t>
      </w:r>
    </w:p>
    <w:p>
      <w:pPr>
        <w:pStyle w:val="0"/>
        <w:spacing w:before="200" w:lineRule="auto"/>
        <w:ind w:firstLine="540"/>
        <w:jc w:val="both"/>
      </w:pPr>
      <w:r>
        <w:rPr>
          <w:sz w:val="20"/>
        </w:rPr>
        <w:t xml:space="preserve">несоответствие представленных получателем гранта документов требованиям, определенным настоящим Порядком, или непредставление (представление не в полном объеме) указанных документов;</w:t>
      </w:r>
    </w:p>
    <w:p>
      <w:pPr>
        <w:pStyle w:val="0"/>
        <w:spacing w:before="200" w:lineRule="auto"/>
        <w:ind w:firstLine="540"/>
        <w:jc w:val="both"/>
      </w:pPr>
      <w:r>
        <w:rPr>
          <w:sz w:val="20"/>
        </w:rPr>
        <w:t xml:space="preserve">установление факта недостоверности представленной получателем субсидии информации;</w:t>
      </w:r>
    </w:p>
    <w:p>
      <w:pPr>
        <w:pStyle w:val="0"/>
        <w:spacing w:before="200" w:lineRule="auto"/>
        <w:ind w:firstLine="540"/>
        <w:jc w:val="both"/>
      </w:pPr>
      <w:r>
        <w:rPr>
          <w:sz w:val="20"/>
        </w:rPr>
        <w:t xml:space="preserve">отсутствие нераспределенных лимитов бюджетных обязательств, предусмотренных на предоставление грантов.</w:t>
      </w:r>
    </w:p>
    <w:bookmarkStart w:id="313" w:name="P313"/>
    <w:bookmarkEnd w:id="313"/>
    <w:p>
      <w:pPr>
        <w:pStyle w:val="0"/>
        <w:spacing w:before="200" w:lineRule="auto"/>
        <w:ind w:firstLine="540"/>
        <w:jc w:val="both"/>
      </w:pPr>
      <w:r>
        <w:rPr>
          <w:sz w:val="20"/>
        </w:rPr>
        <w:t xml:space="preserve">3.12. По итогам заседания конкурсной комиссии в течение 3 рабочих дней составляется протокол, который передается в уполномоченный орган в срок, не превышающий 2 рабочих дней со дня его подписания.</w:t>
      </w:r>
    </w:p>
    <w:p>
      <w:pPr>
        <w:pStyle w:val="0"/>
        <w:spacing w:before="200" w:lineRule="auto"/>
        <w:ind w:firstLine="540"/>
        <w:jc w:val="both"/>
      </w:pPr>
      <w:r>
        <w:rPr>
          <w:sz w:val="20"/>
        </w:rPr>
        <w:t xml:space="preserve">Протокол должен содержать следующие сведения:</w:t>
      </w:r>
    </w:p>
    <w:p>
      <w:pPr>
        <w:pStyle w:val="0"/>
        <w:spacing w:before="200" w:lineRule="auto"/>
        <w:ind w:firstLine="540"/>
        <w:jc w:val="both"/>
      </w:pPr>
      <w:r>
        <w:rPr>
          <w:sz w:val="20"/>
        </w:rPr>
        <w:t xml:space="preserve">дата, время и место проведения рассмотрения заявок;</w:t>
      </w:r>
    </w:p>
    <w:p>
      <w:pPr>
        <w:pStyle w:val="0"/>
        <w:spacing w:before="200" w:lineRule="auto"/>
        <w:ind w:firstLine="540"/>
        <w:jc w:val="both"/>
      </w:pPr>
      <w:r>
        <w:rPr>
          <w:sz w:val="20"/>
        </w:rPr>
        <w:t xml:space="preserve">дата, время и место оценки заявок;</w:t>
      </w:r>
    </w:p>
    <w:p>
      <w:pPr>
        <w:pStyle w:val="0"/>
        <w:spacing w:before="200" w:lineRule="auto"/>
        <w:ind w:firstLine="540"/>
        <w:jc w:val="both"/>
      </w:pPr>
      <w:r>
        <w:rPr>
          <w:sz w:val="20"/>
        </w:rPr>
        <w:t xml:space="preserve">информация об участниках отбора, заявки на участие в конкурсе которых были рассмотрены;</w:t>
      </w:r>
    </w:p>
    <w:p>
      <w:pPr>
        <w:pStyle w:val="0"/>
        <w:spacing w:before="200" w:lineRule="auto"/>
        <w:ind w:firstLine="540"/>
        <w:jc w:val="both"/>
      </w:pPr>
      <w:r>
        <w:rPr>
          <w:sz w:val="20"/>
        </w:rPr>
        <w:t xml:space="preserve">информация об участниках отбора, заявки на участие в конкурсе которых были отклонены, с указанием причин их отклонения, в том числе положений объявления о проведении отбора, которым не соответствуют такие заявки;</w:t>
      </w:r>
    </w:p>
    <w:p>
      <w:pPr>
        <w:pStyle w:val="0"/>
        <w:spacing w:before="200" w:lineRule="auto"/>
        <w:ind w:firstLine="540"/>
        <w:jc w:val="both"/>
      </w:pPr>
      <w:r>
        <w:rPr>
          <w:sz w:val="20"/>
        </w:rPr>
        <w:t xml:space="preserve">последовательность оценки заявок, количество баллов по каждому из предусмотренных критериев оценки заявок, принятое на основании результатов оценки решение о присвоении места в рейтинге;</w:t>
      </w:r>
    </w:p>
    <w:p>
      <w:pPr>
        <w:pStyle w:val="0"/>
        <w:spacing w:before="200" w:lineRule="auto"/>
        <w:ind w:firstLine="540"/>
        <w:jc w:val="both"/>
      </w:pPr>
      <w:r>
        <w:rPr>
          <w:sz w:val="20"/>
        </w:rPr>
        <w:t xml:space="preserve">полное наименование получателя гранта, на базе которого осуществляет свою деятельность Добро.Центр, с которыми заключается договор на получение гранта, и размер предоставляемого гранта;</w:t>
      </w:r>
    </w:p>
    <w:p>
      <w:pPr>
        <w:pStyle w:val="0"/>
        <w:spacing w:before="200" w:lineRule="auto"/>
        <w:ind w:firstLine="540"/>
        <w:jc w:val="both"/>
      </w:pPr>
      <w:r>
        <w:rPr>
          <w:sz w:val="20"/>
        </w:rPr>
        <w:t xml:space="preserve">информация об участниках отбора, которым отказано в предоставлении субсидии по основаниям, предусмотренным в </w:t>
      </w:r>
      <w:hyperlink w:history="0" w:anchor="P309" w:tooltip="3.11. Основаниями для отказа в предоставлении гранта являются:">
        <w:r>
          <w:rPr>
            <w:sz w:val="20"/>
            <w:color w:val="0000ff"/>
          </w:rPr>
          <w:t xml:space="preserve">пункте 3.11</w:t>
        </w:r>
      </w:hyperlink>
      <w:r>
        <w:rPr>
          <w:sz w:val="20"/>
        </w:rPr>
        <w:t xml:space="preserve"> настоящего Порядка.</w:t>
      </w:r>
    </w:p>
    <w:p>
      <w:pPr>
        <w:pStyle w:val="0"/>
        <w:spacing w:before="200" w:lineRule="auto"/>
        <w:ind w:firstLine="540"/>
        <w:jc w:val="both"/>
      </w:pPr>
      <w:r>
        <w:rPr>
          <w:sz w:val="20"/>
        </w:rPr>
        <w:t xml:space="preserve">3.13. Уполномоченный орган в течение 2 рабочих дней со дня получения протокола, указанного в </w:t>
      </w:r>
      <w:hyperlink w:history="0" w:anchor="P313" w:tooltip="3.12. По итогам заседания конкурсной комиссии в течение 3 рабочих дней составляется протокол, который передается в уполномоченный орган в срок, не превышающий 2 рабочих дней со дня его подписания.">
        <w:r>
          <w:rPr>
            <w:sz w:val="20"/>
            <w:color w:val="0000ff"/>
          </w:rPr>
          <w:t xml:space="preserve">пункте 3.12</w:t>
        </w:r>
      </w:hyperlink>
      <w:r>
        <w:rPr>
          <w:sz w:val="20"/>
        </w:rPr>
        <w:t xml:space="preserve"> настоящего Порядка, обеспечивает формирование, подписание и размещение протокола подведения итогов отбора.</w:t>
      </w:r>
    </w:p>
    <w:p>
      <w:pPr>
        <w:pStyle w:val="0"/>
        <w:spacing w:before="200" w:lineRule="auto"/>
        <w:ind w:firstLine="540"/>
        <w:jc w:val="both"/>
      </w:pPr>
      <w:r>
        <w:rPr>
          <w:sz w:val="20"/>
        </w:rPr>
        <w:t xml:space="preserve">Протокол подведения итогов отбора формируется автоматически на Портале на основании результатов определения победителей отбора, подписывается усиленной квалифицированной электронной подписью руководителя уполномоченного органа (уполномоченного им лица), а также размещается на Портале не позднее 1-го рабочего дня, следующего за днем его подписания.</w:t>
      </w:r>
    </w:p>
    <w:p>
      <w:pPr>
        <w:pStyle w:val="0"/>
        <w:spacing w:before="200" w:lineRule="auto"/>
        <w:ind w:firstLine="540"/>
        <w:jc w:val="both"/>
      </w:pPr>
      <w:r>
        <w:rPr>
          <w:sz w:val="20"/>
        </w:rPr>
        <w:t xml:space="preserve">Внесение изменений в протокол подведения итогов отбора осуществляется не позднее 10 календарных дней со дня подписания первой версии протокола подведения итогов отбора путем формирования новой версии указанного протокола с указанием причин внесения изменений.</w:t>
      </w:r>
    </w:p>
    <w:p>
      <w:pPr>
        <w:pStyle w:val="0"/>
        <w:spacing w:before="200" w:lineRule="auto"/>
        <w:ind w:firstLine="540"/>
        <w:jc w:val="both"/>
      </w:pPr>
      <w:r>
        <w:rPr>
          <w:sz w:val="20"/>
        </w:rPr>
        <w:t xml:space="preserve">3.14. Уполномоченный орган в течение 5 рабочих дней со дня подписания протокола, указанного в </w:t>
      </w:r>
      <w:hyperlink w:history="0" w:anchor="P313" w:tooltip="3.12. По итогам заседания конкурсной комиссии в течение 3 рабочих дней составляется протокол, который передается в уполномоченный орган в срок, не превышающий 2 рабочих дней со дня его подписания.">
        <w:r>
          <w:rPr>
            <w:sz w:val="20"/>
            <w:color w:val="0000ff"/>
          </w:rPr>
          <w:t xml:space="preserve">пункте 3.12</w:t>
        </w:r>
      </w:hyperlink>
      <w:r>
        <w:rPr>
          <w:sz w:val="20"/>
        </w:rPr>
        <w:t xml:space="preserve"> настоящего Порядка, направляет участнику отбора, указанному в </w:t>
      </w:r>
      <w:hyperlink w:history="0" w:anchor="P308" w:tooltip="3.10. При образовании остатка бюджетных ассигнований, предусмотренных на предоставление грантов (далее - остаток), размер которого меньше, чем запрашиваемый следующим в рейтинге участником отбора размер гранта (но не менее чем 50% от запрашиваемого объема гранта), конкурсная комиссия предлагает уполномоченному органу предоставить данному участнику отбора грант в размере остатка с возможностью корректировки перечня затрат, содержащегося в описании представленного пакета документов, что отражается в проток...">
        <w:r>
          <w:rPr>
            <w:sz w:val="20"/>
            <w:color w:val="0000ff"/>
          </w:rPr>
          <w:t xml:space="preserve">пункте 3.10</w:t>
        </w:r>
      </w:hyperlink>
      <w:r>
        <w:rPr>
          <w:sz w:val="20"/>
        </w:rPr>
        <w:t xml:space="preserve"> настоящего Порядка, уведомление в письменной форме о предоставлении ему гранта в размере остатка (но не менее чем 50% от запрашиваемого объема гранта) с возможностью корректировки перечня затрат, содержащегося в пакете документов, и значений характеристик с учетом сохранения содержания представленных документов.</w:t>
      </w:r>
    </w:p>
    <w:p>
      <w:pPr>
        <w:pStyle w:val="0"/>
        <w:spacing w:before="200" w:lineRule="auto"/>
        <w:ind w:firstLine="540"/>
        <w:jc w:val="both"/>
      </w:pPr>
      <w:r>
        <w:rPr>
          <w:sz w:val="20"/>
        </w:rPr>
        <w:t xml:space="preserve">Указанный участник отбора в течение 2 рабочих дней со дня получения уведомления от уполномоченного органа сообщает в уполномоченный орган в письменной форме о согласии (несогласии) в предоставлении ему гранта в размере остатка, корректировке перечня затрат, содержащегося в описании пакета документов, и значений характеристики с приложением скорректированных перечня затрат и значения характеристики с учетом сохранения содержания пакета документов.</w:t>
      </w:r>
    </w:p>
    <w:p>
      <w:pPr>
        <w:pStyle w:val="0"/>
        <w:spacing w:before="200" w:lineRule="auto"/>
        <w:ind w:firstLine="540"/>
        <w:jc w:val="both"/>
      </w:pPr>
      <w:r>
        <w:rPr>
          <w:sz w:val="20"/>
        </w:rPr>
        <w:t xml:space="preserve">3.15. Уполномоченный орган не дает пояснений об оценках и выводах членов конкурсной комиссии.</w:t>
      </w:r>
    </w:p>
    <w:p>
      <w:pPr>
        <w:pStyle w:val="0"/>
        <w:jc w:val="both"/>
      </w:pPr>
      <w:r>
        <w:rPr>
          <w:sz w:val="20"/>
        </w:rPr>
      </w:r>
    </w:p>
    <w:bookmarkStart w:id="329" w:name="P329"/>
    <w:bookmarkEnd w:id="329"/>
    <w:p>
      <w:pPr>
        <w:pStyle w:val="2"/>
        <w:outlineLvl w:val="1"/>
        <w:jc w:val="center"/>
      </w:pPr>
      <w:r>
        <w:rPr>
          <w:sz w:val="20"/>
        </w:rPr>
        <w:t xml:space="preserve">4. Требования к отчетности, осуществлению контроля</w:t>
      </w:r>
    </w:p>
    <w:p>
      <w:pPr>
        <w:pStyle w:val="2"/>
        <w:jc w:val="center"/>
      </w:pPr>
      <w:r>
        <w:rPr>
          <w:sz w:val="20"/>
        </w:rPr>
        <w:t xml:space="preserve">(мониторинга) за соблюдением условий, порядка предоставления</w:t>
      </w:r>
    </w:p>
    <w:p>
      <w:pPr>
        <w:pStyle w:val="2"/>
        <w:jc w:val="center"/>
      </w:pPr>
      <w:r>
        <w:rPr>
          <w:sz w:val="20"/>
        </w:rPr>
        <w:t xml:space="preserve">грантов и ответственность за их нарушение</w:t>
      </w:r>
    </w:p>
    <w:p>
      <w:pPr>
        <w:pStyle w:val="0"/>
        <w:jc w:val="both"/>
      </w:pPr>
      <w:r>
        <w:rPr>
          <w:sz w:val="20"/>
        </w:rPr>
      </w:r>
    </w:p>
    <w:bookmarkStart w:id="333" w:name="P333"/>
    <w:bookmarkEnd w:id="333"/>
    <w:p>
      <w:pPr>
        <w:pStyle w:val="0"/>
        <w:ind w:firstLine="540"/>
        <w:jc w:val="both"/>
      </w:pPr>
      <w:r>
        <w:rPr>
          <w:sz w:val="20"/>
        </w:rPr>
        <w:t xml:space="preserve">4.1. Получатель гранта обязан представить в уполномоченный орган в системе "Электронный бюджет":</w:t>
      </w:r>
    </w:p>
    <w:p>
      <w:pPr>
        <w:pStyle w:val="0"/>
        <w:spacing w:before="200" w:lineRule="auto"/>
        <w:ind w:firstLine="540"/>
        <w:jc w:val="both"/>
      </w:pPr>
      <w:r>
        <w:rPr>
          <w:sz w:val="20"/>
        </w:rPr>
        <w:t xml:space="preserve">а) до истечения периода расходования гранта ежеквартально в срок не позднее 25 числа месяца, следующего за отчетным кварталом по формам в соответствии с договором:</w:t>
      </w:r>
    </w:p>
    <w:p>
      <w:pPr>
        <w:pStyle w:val="0"/>
        <w:spacing w:before="200" w:lineRule="auto"/>
        <w:ind w:firstLine="540"/>
        <w:jc w:val="both"/>
      </w:pPr>
      <w:r>
        <w:rPr>
          <w:sz w:val="20"/>
        </w:rPr>
        <w:t xml:space="preserve">отчеты о достижении значения результата предоставления гранта;</w:t>
      </w:r>
    </w:p>
    <w:p>
      <w:pPr>
        <w:pStyle w:val="0"/>
        <w:spacing w:before="200" w:lineRule="auto"/>
        <w:ind w:firstLine="540"/>
        <w:jc w:val="both"/>
      </w:pPr>
      <w:r>
        <w:rPr>
          <w:sz w:val="20"/>
        </w:rPr>
        <w:t xml:space="preserve">отчеты об осуществлении расходов, источником финансового обеспечения которых является грант;</w:t>
      </w:r>
    </w:p>
    <w:p>
      <w:pPr>
        <w:pStyle w:val="0"/>
        <w:spacing w:before="200" w:lineRule="auto"/>
        <w:ind w:firstLine="540"/>
        <w:jc w:val="both"/>
      </w:pPr>
      <w:r>
        <w:rPr>
          <w:sz w:val="20"/>
        </w:rPr>
        <w:t xml:space="preserve">б) за квартал, в котором завершено расходование средств гранта, в срок, не превышающий 10 рабочих дней со дня окончания расходования средств гранта, - </w:t>
      </w:r>
      <w:hyperlink w:history="0" w:anchor="P745" w:tooltip="ОТЧЕТ">
        <w:r>
          <w:rPr>
            <w:sz w:val="20"/>
            <w:color w:val="0000ff"/>
          </w:rPr>
          <w:t xml:space="preserve">отчет</w:t>
        </w:r>
      </w:hyperlink>
      <w:r>
        <w:rPr>
          <w:sz w:val="20"/>
        </w:rPr>
        <w:t xml:space="preserve"> об использовании предоставленного гранта по форме согласно приложению 4 к настоящему Порядку.</w:t>
      </w:r>
    </w:p>
    <w:p>
      <w:pPr>
        <w:pStyle w:val="0"/>
        <w:spacing w:before="200" w:lineRule="auto"/>
        <w:ind w:firstLine="540"/>
        <w:jc w:val="both"/>
      </w:pPr>
      <w:r>
        <w:rPr>
          <w:sz w:val="20"/>
        </w:rPr>
        <w:t xml:space="preserve">Одновременно, в день направления отчетов в системе "Электронный бюджет", получатель гранта направляет в уполномоченный орган скан-образы документов на адрес электронной почты уполномоченного органа, а также заверенные копии документов на бумажном носителе посредством личного обращения, услуг почтовой связи, курьерской доставки или по электронной почте (в срок, не превышающий 5 рабочих дней со дня отправки документов на адрес электронной почты):</w:t>
      </w:r>
    </w:p>
    <w:p>
      <w:pPr>
        <w:pStyle w:val="0"/>
        <w:spacing w:before="200" w:lineRule="auto"/>
        <w:ind w:firstLine="540"/>
        <w:jc w:val="both"/>
      </w:pPr>
      <w:r>
        <w:rPr>
          <w:sz w:val="20"/>
        </w:rPr>
        <w:t xml:space="preserve">подтверждающих расходы в соответствии с перечнем затрат, в том числе документы, позволяющие отследить движение средств гранта при наличных расчетах (расходный кассовый ордер, авансовый отчет, платежные документы);</w:t>
      </w:r>
    </w:p>
    <w:p>
      <w:pPr>
        <w:pStyle w:val="0"/>
        <w:spacing w:before="200" w:lineRule="auto"/>
        <w:ind w:firstLine="540"/>
        <w:jc w:val="both"/>
      </w:pPr>
      <w:r>
        <w:rPr>
          <w:sz w:val="20"/>
        </w:rPr>
        <w:t xml:space="preserve">подтверждающих проведение мероприятий и функционирование Добро.Центра (в том числе ссылки на публикации, фотографии, видео в сети Интернет, на телевидении, радио и другие);</w:t>
      </w:r>
    </w:p>
    <w:p>
      <w:pPr>
        <w:pStyle w:val="0"/>
        <w:spacing w:before="200" w:lineRule="auto"/>
        <w:ind w:firstLine="540"/>
        <w:jc w:val="both"/>
      </w:pPr>
      <w:r>
        <w:rPr>
          <w:sz w:val="20"/>
        </w:rPr>
        <w:t xml:space="preserve">подтверждающих проведение мероприятий, исходя из специфики расходов в рамках перечня затрат (в том числе программы, макеты раздаточной продукции, фотографии с мероприятия, электронные версии изданных материалов, списки участников и другие).</w:t>
      </w:r>
    </w:p>
    <w:p>
      <w:pPr>
        <w:pStyle w:val="0"/>
        <w:spacing w:before="200" w:lineRule="auto"/>
        <w:ind w:firstLine="540"/>
        <w:jc w:val="both"/>
      </w:pPr>
      <w:r>
        <w:rPr>
          <w:sz w:val="20"/>
        </w:rPr>
        <w:t xml:space="preserve">4.2. Уполномоченный орган осуществляет регистрацию поступления отчета и прилагающихся к нему документов (скан-образов документов), указанных в </w:t>
      </w:r>
      <w:hyperlink w:history="0" w:anchor="P333" w:tooltip="4.1. Получатель гранта обязан представить в уполномоченный орган в системе &quot;Электронный бюджет&quot;:">
        <w:r>
          <w:rPr>
            <w:sz w:val="20"/>
            <w:color w:val="0000ff"/>
          </w:rPr>
          <w:t xml:space="preserve">пункте 4.1</w:t>
        </w:r>
      </w:hyperlink>
      <w:r>
        <w:rPr>
          <w:sz w:val="20"/>
        </w:rPr>
        <w:t xml:space="preserve"> Порядка, поступивших в системе "Электронный бюджет" и на бумажных носителях, в день их получения посредством простановки отметки на отчете (документах) и в журнале регистрации.</w:t>
      </w:r>
    </w:p>
    <w:p>
      <w:pPr>
        <w:pStyle w:val="0"/>
        <w:spacing w:before="200" w:lineRule="auto"/>
        <w:ind w:firstLine="540"/>
        <w:jc w:val="both"/>
      </w:pPr>
      <w:r>
        <w:rPr>
          <w:sz w:val="20"/>
        </w:rPr>
        <w:t xml:space="preserve">Отчеты и документы к ним, журналы регистрации хранятся в уполномоченном органе в соответствии с действующим законодательством в сфере архивного дела.</w:t>
      </w:r>
    </w:p>
    <w:p>
      <w:pPr>
        <w:pStyle w:val="0"/>
        <w:spacing w:before="200" w:lineRule="auto"/>
        <w:ind w:firstLine="540"/>
        <w:jc w:val="both"/>
      </w:pPr>
      <w:r>
        <w:rPr>
          <w:sz w:val="20"/>
        </w:rPr>
        <w:t xml:space="preserve">Уполномоченный орган может запрашивать у получателя гранта дополнительные сведения о соблюдении условий, порядка предоставления гранта, достижении значения результата предоставления гранта и характеристики.</w:t>
      </w:r>
    </w:p>
    <w:p>
      <w:pPr>
        <w:pStyle w:val="0"/>
        <w:spacing w:before="200" w:lineRule="auto"/>
        <w:ind w:firstLine="540"/>
        <w:jc w:val="both"/>
      </w:pPr>
      <w:r>
        <w:rPr>
          <w:sz w:val="20"/>
        </w:rPr>
        <w:t xml:space="preserve">4.3. Уполномоченный орган осуществляет мониторинг достижения значений результатов предоставления гранта, определенных договором, и событий, отражающих факт завершения соответствующего мероприятия по получению результата предоставления гранта (контрольная точка).</w:t>
      </w:r>
    </w:p>
    <w:p>
      <w:pPr>
        <w:pStyle w:val="0"/>
        <w:spacing w:before="200" w:lineRule="auto"/>
        <w:ind w:firstLine="540"/>
        <w:jc w:val="both"/>
      </w:pPr>
      <w:r>
        <w:rPr>
          <w:sz w:val="20"/>
        </w:rPr>
        <w:t xml:space="preserve">Для проведения мониторинга получатель гранта в течение периода использования средств гранта ежеквартально, начиная с квартала, в котором предоставлен грант, в срок не позднее 10 рабочего дня, следующего за отчетным кварталом, представляет в системе "Электронный бюджет" отчет о реализации плана мероприятий по форме, установленной Министерством финансов Российской Федерации.</w:t>
      </w:r>
    </w:p>
    <w:p>
      <w:pPr>
        <w:pStyle w:val="0"/>
        <w:spacing w:before="200" w:lineRule="auto"/>
        <w:ind w:firstLine="540"/>
        <w:jc w:val="both"/>
      </w:pPr>
      <w:r>
        <w:rPr>
          <w:sz w:val="20"/>
        </w:rPr>
        <w:t xml:space="preserve">Формирование отчета о реализации плана мероприятий осуществляется ежеквартально с ежемесячным отражением информации, определенной Министерством финансов Российской Федерации.</w:t>
      </w:r>
    </w:p>
    <w:p>
      <w:pPr>
        <w:pStyle w:val="0"/>
        <w:spacing w:before="200" w:lineRule="auto"/>
        <w:ind w:firstLine="540"/>
        <w:jc w:val="both"/>
      </w:pPr>
      <w:r>
        <w:rPr>
          <w:sz w:val="20"/>
        </w:rPr>
        <w:t xml:space="preserve">В случае непредставления получателем гранта ежеквартального отчета о реализации плана мероприятий уполномоченный орган направляет по электронной почте на адрес, указанный в заявке на участие в конкурсе, уведомление с требованием о представлении ежеквартального отчета о реализации плана мероприятий в течение 3 календарных дней со дня направления уведомления.</w:t>
      </w:r>
    </w:p>
    <w:p>
      <w:pPr>
        <w:pStyle w:val="0"/>
        <w:spacing w:before="200" w:lineRule="auto"/>
        <w:ind w:firstLine="540"/>
        <w:jc w:val="both"/>
      </w:pPr>
      <w:r>
        <w:rPr>
          <w:sz w:val="20"/>
        </w:rPr>
        <w:t xml:space="preserve">4.4. Министерство финансов области как орган государственного финансового контроля осуществляет проверки в соответствии со </w:t>
      </w:r>
      <w:hyperlink w:history="0" r:id="rId38" w:tooltip="&quot;Бюджетный кодекс Российской Федерации&quot; от 31.07.1998 N 145-ФЗ (ред. от 28.11.2025) ------------ Недействующая редакция {КонсультантПлюс}">
        <w:r>
          <w:rPr>
            <w:sz w:val="20"/>
            <w:color w:val="0000ff"/>
          </w:rPr>
          <w:t xml:space="preserve">статьями 268.1</w:t>
        </w:r>
      </w:hyperlink>
      <w:r>
        <w:rPr>
          <w:sz w:val="20"/>
        </w:rPr>
        <w:t xml:space="preserve"> и </w:t>
      </w:r>
      <w:hyperlink w:history="0" r:id="rId39" w:tooltip="&quot;Бюджетный кодекс Российской Федерации&quot; от 31.07.1998 N 145-ФЗ (ред. от 28.11.2025) ------------ Недействующая редакция {КонсультантПлюс}">
        <w:r>
          <w:rPr>
            <w:sz w:val="20"/>
            <w:color w:val="0000ff"/>
          </w:rPr>
          <w:t xml:space="preserve">269.2</w:t>
        </w:r>
      </w:hyperlink>
      <w:r>
        <w:rPr>
          <w:sz w:val="20"/>
        </w:rPr>
        <w:t xml:space="preserve"> Бюджетного кодекса Российской Федерации.</w:t>
      </w:r>
    </w:p>
    <w:p>
      <w:pPr>
        <w:pStyle w:val="0"/>
        <w:spacing w:before="200" w:lineRule="auto"/>
        <w:ind w:firstLine="540"/>
        <w:jc w:val="both"/>
      </w:pPr>
      <w:r>
        <w:rPr>
          <w:sz w:val="20"/>
        </w:rPr>
        <w:t xml:space="preserve">4.5. Уполномоченный орган осуществляет проверку соблюдения получателем гранта порядка и условий предоставления гранта, в том числе в части достижения результата предоставления гранта путем документального и фактического анализа операций, связанных с использованием средств гранта, произведенных получателем гранта.</w:t>
      </w:r>
    </w:p>
    <w:p>
      <w:pPr>
        <w:pStyle w:val="0"/>
        <w:spacing w:before="200" w:lineRule="auto"/>
        <w:ind w:firstLine="540"/>
        <w:jc w:val="both"/>
      </w:pPr>
      <w:r>
        <w:rPr>
          <w:sz w:val="20"/>
        </w:rPr>
        <w:t xml:space="preserve">4.6. Получатель гранта выражает свое согласие на осуществление проверок, указанных в настоящем Порядке, заключив договор.</w:t>
      </w:r>
    </w:p>
    <w:p>
      <w:pPr>
        <w:pStyle w:val="0"/>
        <w:spacing w:before="200" w:lineRule="auto"/>
        <w:ind w:firstLine="540"/>
        <w:jc w:val="both"/>
      </w:pPr>
      <w:r>
        <w:rPr>
          <w:sz w:val="20"/>
        </w:rPr>
        <w:t xml:space="preserve">4.7. Уполномоченный орган на основе представленных получателем гранта отчетов и документов к ним, указанных в </w:t>
      </w:r>
      <w:hyperlink w:history="0" w:anchor="P333" w:tooltip="4.1. Получатель гранта обязан представить в уполномоченный орган в системе &quot;Электронный бюджет&quot;:">
        <w:r>
          <w:rPr>
            <w:sz w:val="20"/>
            <w:color w:val="0000ff"/>
          </w:rPr>
          <w:t xml:space="preserve">пункте 4.1</w:t>
        </w:r>
      </w:hyperlink>
      <w:r>
        <w:rPr>
          <w:sz w:val="20"/>
        </w:rPr>
        <w:t xml:space="preserve"> настоящего Порядка, в течение 20 рабочих дней со дня их получения в полном объеме на бумажном носителе проводит оценку эффективности использования средств гранта на предмет достижения результата предоставления гранта и значения характеристики, предусмотренных в договоре о предоставлении гранта, а также осуществляет проверку соответствия перечню затрат фактически понесенных расходов за счет средств гранта.</w:t>
      </w:r>
    </w:p>
    <w:p>
      <w:pPr>
        <w:pStyle w:val="0"/>
        <w:spacing w:before="200" w:lineRule="auto"/>
        <w:ind w:firstLine="540"/>
        <w:jc w:val="both"/>
      </w:pPr>
      <w:r>
        <w:rPr>
          <w:sz w:val="20"/>
        </w:rPr>
        <w:t xml:space="preserve">4.8. Получатель гранта несет ответственность за нарушение условий и порядка предоставления гранта в соответствии с действующим законодательством и заключенным договором.</w:t>
      </w:r>
    </w:p>
    <w:bookmarkStart w:id="354" w:name="P354"/>
    <w:bookmarkEnd w:id="354"/>
    <w:p>
      <w:pPr>
        <w:pStyle w:val="0"/>
        <w:spacing w:before="200" w:lineRule="auto"/>
        <w:ind w:firstLine="540"/>
        <w:jc w:val="both"/>
      </w:pPr>
      <w:r>
        <w:rPr>
          <w:sz w:val="20"/>
        </w:rPr>
        <w:t xml:space="preserve">4.9. В случае выявления в ходе проверок в представленных получателем гранта отчетах и документах к ним сведений, не соответствующих действительности, нарушения получателем гранта условий, установленных при предоставлении гранта, выявленного в том числе по фактам проверок, проведенных уполномоченным органом и органами государственного (муниципального) финансового контроля, а также в случае недостижения значений результатов предоставления субсидии, если указанные недостоверность сведений и нарушения являются устранимыми, уполномоченный орган в срок 10 рабочих дней со дня обнаружения указанных недостоверности сведений и нарушений направляет получателю гранта посредством услуг почтовой связи и по электронной почте на адрес, указанный в заявке, уведомление с требованием об устранении недостоверности сведений и нарушений порядка и условий предоставления гранта в течение 15 календарных дней со дня направления уведомления.</w:t>
      </w:r>
    </w:p>
    <w:p>
      <w:pPr>
        <w:pStyle w:val="0"/>
        <w:spacing w:before="200" w:lineRule="auto"/>
        <w:ind w:firstLine="540"/>
        <w:jc w:val="both"/>
      </w:pPr>
      <w:r>
        <w:rPr>
          <w:sz w:val="20"/>
        </w:rPr>
        <w:t xml:space="preserve">В случае неустранения указанных недостоверности сведений и нарушений уполномоченный орган в течение 10 рабочих дней со дня истечения срока, указанного в </w:t>
      </w:r>
      <w:hyperlink w:history="0" w:anchor="P354" w:tooltip="4.9. В случае выявления в ходе проверок в представленных получателем гранта отчетах и документах к ним сведений, не соответствующих действительности, нарушения получателем гранта условий, установленных при предоставлении гранта, выявленного в том числе по фактам проверок, проведенных уполномоченным органом и органами государственного (муниципального) финансового контроля, а также в случае недостижения значений результатов предоставления субсидии, если указанные недостоверность сведений и нарушения являют...">
        <w:r>
          <w:rPr>
            <w:sz w:val="20"/>
            <w:color w:val="0000ff"/>
          </w:rPr>
          <w:t xml:space="preserve">абзаце первом</w:t>
        </w:r>
      </w:hyperlink>
      <w:r>
        <w:rPr>
          <w:sz w:val="20"/>
        </w:rPr>
        <w:t xml:space="preserve"> настоящего пункта, направляет получателю гранта способом, указанным в заявке, уведомление с требованием о возврате средств гранта в областной бюджет в течение 30 календарных дней со дня направления уведомления.</w:t>
      </w:r>
    </w:p>
    <w:p>
      <w:pPr>
        <w:pStyle w:val="0"/>
        <w:spacing w:before="200" w:lineRule="auto"/>
        <w:ind w:firstLine="540"/>
        <w:jc w:val="both"/>
      </w:pPr>
      <w:r>
        <w:rPr>
          <w:sz w:val="20"/>
        </w:rPr>
        <w:t xml:space="preserve">В случае выявления в ходе проверок в представленных получателем гранта отчетах и документах к ним сведений, не соответствующих действительности, нарушения получателем гранта условий, установленных при предоставлении гранта, выявленного в том числе по фактам проверок, проведенных уполномоченным органом и органами государственного (муниципального) финансового контроля, а также в случае недостижения значений результатов предоставления субсидии, которые являются неустранимыми, уполномоченный орган не позднее 3 рабочих дней со дня обнаружения указанных недостоверности сведений, нарушений направляет получателю гранта способом, указанным в заявке, уведомление с требованием о возврате гранта в областной бюджет в течение 30 календарных дней со дня направления уведомления.</w:t>
      </w:r>
    </w:p>
    <w:p>
      <w:pPr>
        <w:pStyle w:val="0"/>
        <w:spacing w:before="200" w:lineRule="auto"/>
        <w:ind w:firstLine="540"/>
        <w:jc w:val="both"/>
      </w:pPr>
      <w:r>
        <w:rPr>
          <w:sz w:val="20"/>
        </w:rPr>
        <w:t xml:space="preserve">В случае непоступления средств в течение указанного в уведомлении срока уполномоченный орган в срок не более 3 месяцев со дня истечения срока возврата гранта принимает меры к их взысканию в судебном порядке.</w:t>
      </w:r>
    </w:p>
    <w:p>
      <w:pPr>
        <w:pStyle w:val="0"/>
        <w:spacing w:before="200" w:lineRule="auto"/>
        <w:ind w:firstLine="540"/>
        <w:jc w:val="both"/>
      </w:pPr>
      <w:r>
        <w:rPr>
          <w:sz w:val="20"/>
        </w:rPr>
        <w:t xml:space="preserve">Средства гранта подлежат возврату получателем гранта в областной бюджет в случаях:</w:t>
      </w:r>
    </w:p>
    <w:bookmarkStart w:id="359" w:name="P359"/>
    <w:bookmarkEnd w:id="359"/>
    <w:p>
      <w:pPr>
        <w:pStyle w:val="0"/>
        <w:spacing w:before="200" w:lineRule="auto"/>
        <w:ind w:firstLine="540"/>
        <w:jc w:val="both"/>
      </w:pPr>
      <w:r>
        <w:rPr>
          <w:sz w:val="20"/>
        </w:rPr>
        <w:t xml:space="preserve">1) недостижения получателем гранта значения результата предоставления гранта, установленного договором;</w:t>
      </w:r>
    </w:p>
    <w:bookmarkStart w:id="360" w:name="P360"/>
    <w:bookmarkEnd w:id="360"/>
    <w:p>
      <w:pPr>
        <w:pStyle w:val="0"/>
        <w:spacing w:before="200" w:lineRule="auto"/>
        <w:ind w:firstLine="540"/>
        <w:jc w:val="both"/>
      </w:pPr>
      <w:r>
        <w:rPr>
          <w:sz w:val="20"/>
        </w:rPr>
        <w:t xml:space="preserve">2) представления в уполномоченный орган документов, подтверждающих сумму расходов, указанную в отчете, не в полном объеме;</w:t>
      </w:r>
    </w:p>
    <w:bookmarkStart w:id="361" w:name="P361"/>
    <w:bookmarkEnd w:id="361"/>
    <w:p>
      <w:pPr>
        <w:pStyle w:val="0"/>
        <w:spacing w:before="200" w:lineRule="auto"/>
        <w:ind w:firstLine="540"/>
        <w:jc w:val="both"/>
      </w:pPr>
      <w:r>
        <w:rPr>
          <w:sz w:val="20"/>
        </w:rPr>
        <w:t xml:space="preserve">3) нарушения получателем гранта условий и порядка предоставления гранта, в том числе выявленного по итогам проверок, проведенных уполномоченным органом и органами государственного финансового контроля (за исключением случаев, предусмотренных </w:t>
      </w:r>
      <w:hyperlink w:history="0" w:anchor="P359" w:tooltip="1) недостижения получателем гранта значения результата предоставления гранта, установленного договором;">
        <w:r>
          <w:rPr>
            <w:sz w:val="20"/>
            <w:color w:val="0000ff"/>
          </w:rPr>
          <w:t xml:space="preserve">подпунктами 1</w:t>
        </w:r>
      </w:hyperlink>
      <w:r>
        <w:rPr>
          <w:sz w:val="20"/>
        </w:rPr>
        <w:t xml:space="preserve"> и </w:t>
      </w:r>
      <w:hyperlink w:history="0" w:anchor="P360" w:tooltip="2) представления в уполномоченный орган документов, подтверждающих сумму расходов, указанную в отчете, не в полном объеме;">
        <w:r>
          <w:rPr>
            <w:sz w:val="20"/>
            <w:color w:val="0000ff"/>
          </w:rPr>
          <w:t xml:space="preserve">2</w:t>
        </w:r>
      </w:hyperlink>
      <w:r>
        <w:rPr>
          <w:sz w:val="20"/>
        </w:rPr>
        <w:t xml:space="preserve"> настоящего пункта).</w:t>
      </w:r>
    </w:p>
    <w:p>
      <w:pPr>
        <w:pStyle w:val="0"/>
        <w:spacing w:before="200" w:lineRule="auto"/>
        <w:ind w:firstLine="540"/>
        <w:jc w:val="both"/>
      </w:pPr>
      <w:r>
        <w:rPr>
          <w:sz w:val="20"/>
        </w:rPr>
        <w:t xml:space="preserve">В случае, указанном в </w:t>
      </w:r>
      <w:hyperlink w:history="0" w:anchor="P359" w:tooltip="1) недостижения получателем гранта значения результата предоставления гранта, установленного договором;">
        <w:r>
          <w:rPr>
            <w:sz w:val="20"/>
            <w:color w:val="0000ff"/>
          </w:rPr>
          <w:t xml:space="preserve">подпункте 1</w:t>
        </w:r>
      </w:hyperlink>
      <w:r>
        <w:rPr>
          <w:sz w:val="20"/>
        </w:rPr>
        <w:t xml:space="preserve"> настоящего пункта, объем средств, подлежащий возврату, рассчитывается по формуле:</w:t>
      </w:r>
    </w:p>
    <w:p>
      <w:pPr>
        <w:pStyle w:val="0"/>
        <w:jc w:val="both"/>
      </w:pPr>
      <w:r>
        <w:rPr>
          <w:sz w:val="20"/>
        </w:rPr>
      </w:r>
    </w:p>
    <w:p>
      <w:pPr>
        <w:pStyle w:val="0"/>
        <w:jc w:val="center"/>
      </w:pPr>
      <w:r>
        <w:rPr>
          <w:sz w:val="20"/>
        </w:rPr>
        <w:t xml:space="preserve">V</w:t>
      </w:r>
      <w:r>
        <w:rPr>
          <w:sz w:val="20"/>
          <w:vertAlign w:val="subscript"/>
        </w:rPr>
        <w:t xml:space="preserve">возврата</w:t>
      </w:r>
      <w:r>
        <w:rPr>
          <w:sz w:val="20"/>
        </w:rPr>
        <w:t xml:space="preserve"> = (V</w:t>
      </w:r>
      <w:r>
        <w:rPr>
          <w:sz w:val="20"/>
          <w:vertAlign w:val="subscript"/>
        </w:rPr>
        <w:t xml:space="preserve">гранта</w:t>
      </w:r>
      <w:r>
        <w:rPr>
          <w:sz w:val="20"/>
        </w:rPr>
        <w:t xml:space="preserve"> x (n - m) / n), где:</w:t>
      </w:r>
    </w:p>
    <w:p>
      <w:pPr>
        <w:pStyle w:val="0"/>
        <w:jc w:val="both"/>
      </w:pPr>
      <w:r>
        <w:rPr>
          <w:sz w:val="20"/>
        </w:rPr>
      </w:r>
    </w:p>
    <w:p>
      <w:pPr>
        <w:pStyle w:val="0"/>
        <w:ind w:firstLine="540"/>
        <w:jc w:val="both"/>
      </w:pPr>
      <w:r>
        <w:rPr>
          <w:sz w:val="20"/>
        </w:rPr>
        <w:t xml:space="preserve">V</w:t>
      </w:r>
      <w:r>
        <w:rPr>
          <w:sz w:val="20"/>
          <w:vertAlign w:val="subscript"/>
        </w:rPr>
        <w:t xml:space="preserve">возврата</w:t>
      </w:r>
      <w:r>
        <w:rPr>
          <w:sz w:val="20"/>
        </w:rPr>
        <w:t xml:space="preserve"> - объем средств, подлежащий возврату;</w:t>
      </w:r>
    </w:p>
    <w:p>
      <w:pPr>
        <w:pStyle w:val="0"/>
        <w:spacing w:before="200" w:lineRule="auto"/>
        <w:ind w:firstLine="540"/>
        <w:jc w:val="both"/>
      </w:pPr>
      <w:r>
        <w:rPr>
          <w:sz w:val="20"/>
        </w:rPr>
        <w:t xml:space="preserve">V</w:t>
      </w:r>
      <w:r>
        <w:rPr>
          <w:sz w:val="20"/>
          <w:vertAlign w:val="subscript"/>
        </w:rPr>
        <w:t xml:space="preserve">гранта</w:t>
      </w:r>
      <w:r>
        <w:rPr>
          <w:sz w:val="20"/>
        </w:rPr>
        <w:t xml:space="preserve"> - размер гранта, предоставленного получателю гранта;</w:t>
      </w:r>
    </w:p>
    <w:p>
      <w:pPr>
        <w:pStyle w:val="0"/>
        <w:spacing w:before="200" w:lineRule="auto"/>
        <w:ind w:firstLine="540"/>
        <w:jc w:val="both"/>
      </w:pPr>
      <w:r>
        <w:rPr>
          <w:sz w:val="20"/>
        </w:rPr>
        <w:t xml:space="preserve">m - фактическое значение характеристики;</w:t>
      </w:r>
    </w:p>
    <w:p>
      <w:pPr>
        <w:pStyle w:val="0"/>
        <w:spacing w:before="200" w:lineRule="auto"/>
        <w:ind w:firstLine="540"/>
        <w:jc w:val="both"/>
      </w:pPr>
      <w:r>
        <w:rPr>
          <w:sz w:val="20"/>
        </w:rPr>
        <w:t xml:space="preserve">n - плановое значение характеристики.</w:t>
      </w:r>
    </w:p>
    <w:p>
      <w:pPr>
        <w:pStyle w:val="0"/>
        <w:spacing w:before="200" w:lineRule="auto"/>
        <w:ind w:firstLine="540"/>
        <w:jc w:val="both"/>
      </w:pPr>
      <w:r>
        <w:rPr>
          <w:sz w:val="20"/>
        </w:rPr>
        <w:t xml:space="preserve">В случае, указанном в </w:t>
      </w:r>
      <w:hyperlink w:history="0" w:anchor="P360" w:tooltip="2) представления в уполномоченный орган документов, подтверждающих сумму расходов, указанную в отчете, не в полном объеме;">
        <w:r>
          <w:rPr>
            <w:sz w:val="20"/>
            <w:color w:val="0000ff"/>
          </w:rPr>
          <w:t xml:space="preserve">подпункте 2</w:t>
        </w:r>
      </w:hyperlink>
      <w:r>
        <w:rPr>
          <w:sz w:val="20"/>
        </w:rPr>
        <w:t xml:space="preserve"> настоящего пункта, грант подлежит возврату получателем гранта в областной бюджет в объеме средств, расходование которых не подтверждено документами.</w:t>
      </w:r>
    </w:p>
    <w:p>
      <w:pPr>
        <w:pStyle w:val="0"/>
        <w:spacing w:before="200" w:lineRule="auto"/>
        <w:ind w:firstLine="540"/>
        <w:jc w:val="both"/>
      </w:pPr>
      <w:r>
        <w:rPr>
          <w:sz w:val="20"/>
        </w:rPr>
        <w:t xml:space="preserve">В случае, указанном в </w:t>
      </w:r>
      <w:hyperlink w:history="0" w:anchor="P361" w:tooltip="3) нарушения получателем гранта условий и порядка предоставления гранта, в том числе выявленного по итогам проверок, проведенных уполномоченным органом и органами государственного финансового контроля (за исключением случаев, предусмотренных подпунктами 1 и 2 настоящего пункта).">
        <w:r>
          <w:rPr>
            <w:sz w:val="20"/>
            <w:color w:val="0000ff"/>
          </w:rPr>
          <w:t xml:space="preserve">подпункте 3</w:t>
        </w:r>
      </w:hyperlink>
      <w:r>
        <w:rPr>
          <w:sz w:val="20"/>
        </w:rPr>
        <w:t xml:space="preserve"> настоящего пункта, грант подлежит возврату получателем гранта в областной бюджет в полном объеме.</w:t>
      </w:r>
    </w:p>
    <w:p>
      <w:pPr>
        <w:pStyle w:val="0"/>
        <w:spacing w:before="200" w:lineRule="auto"/>
        <w:ind w:firstLine="540"/>
        <w:jc w:val="both"/>
      </w:pPr>
      <w:r>
        <w:rPr>
          <w:sz w:val="20"/>
        </w:rPr>
        <w:t xml:space="preserve">4.10. Не использованный по состоянию на 31 декабря года, следующего за годом предоставления гранта, остаток средств гранта подлежит возврату в областной бюджет в срок до 20 января года, следующего за годом образования остатка средств гранта.</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bookmarkStart w:id="378" w:name="P378"/>
    <w:bookmarkEnd w:id="378"/>
    <w:p>
      <w:pPr>
        <w:pStyle w:val="0"/>
        <w:outlineLvl w:val="1"/>
        <w:jc w:val="right"/>
      </w:pPr>
      <w:r>
        <w:rPr>
          <w:sz w:val="20"/>
        </w:rPr>
        <w:t xml:space="preserve">Приложение 1</w:t>
      </w:r>
    </w:p>
    <w:p>
      <w:pPr>
        <w:pStyle w:val="0"/>
        <w:jc w:val="right"/>
      </w:pPr>
      <w:r>
        <w:rPr>
          <w:sz w:val="20"/>
        </w:rPr>
        <w:t xml:space="preserve">к Порядку</w:t>
      </w:r>
    </w:p>
    <w:p>
      <w:pPr>
        <w:pStyle w:val="0"/>
        <w:jc w:val="both"/>
      </w:pPr>
      <w:r>
        <w:rPr>
          <w:sz w:val="20"/>
        </w:rPr>
      </w:r>
    </w:p>
    <w:tbl>
      <w:tblPr>
        <w:tblInd w:w="0" w:type="dxa"/>
        <w:tblLayout w:type="fixed"/>
        <w:tblCellMar>
          <w:top w:w="102" w:type="dxa"/>
          <w:left w:w="62" w:type="dxa"/>
          <w:bottom w:w="102" w:type="dxa"/>
          <w:right w:w="62" w:type="dxa"/>
        </w:tblCellMar>
      </w:tblPr>
      <w:tblGrid>
        <w:gridCol w:w="9071"/>
      </w:tblGrid>
      <w:tr>
        <w:tc>
          <w:tcPr>
            <w:tcW w:w="9071" w:type="dxa"/>
            <w:tcBorders>
              <w:top w:val="nil"/>
              <w:left w:val="nil"/>
              <w:bottom w:val="nil"/>
              <w:right w:val="nil"/>
            </w:tcBorders>
          </w:tcPr>
          <w:bookmarkStart w:id="381" w:name="P381"/>
          <w:bookmarkEnd w:id="381"/>
          <w:p>
            <w:pPr>
              <w:pStyle w:val="0"/>
              <w:jc w:val="center"/>
            </w:pPr>
            <w:r>
              <w:rPr>
                <w:sz w:val="20"/>
              </w:rPr>
              <w:t xml:space="preserve">ИНФОРМАЦИЯ О ЗАЯВИТЕЛЕ</w:t>
            </w:r>
          </w:p>
        </w:tc>
      </w:tr>
    </w:tbl>
    <w:p>
      <w:pPr>
        <w:pStyle w:val="0"/>
        <w:jc w:val="both"/>
      </w:pPr>
      <w:r>
        <w:rPr>
          <w:sz w:val="20"/>
        </w:rPr>
      </w:r>
    </w:p>
    <w:tbl>
      <w:tblPr>
        <w:tblInd w:w="0" w:type="dxa"/>
        <w:tblLayout w:type="fixed"/>
        <w:tblBorders>
          <w:top w:val="single" w:sz="4"/>
          <w:left w:val="single" w:sz="4"/>
          <w:bottom w:val="single" w:sz="4"/>
          <w:right w:val="single" w:sz="4"/>
        </w:tblBorders>
        <w:tblCellMar>
          <w:top w:w="102" w:type="dxa"/>
          <w:left w:w="62" w:type="dxa"/>
          <w:bottom w:w="102" w:type="dxa"/>
          <w:right w:w="62" w:type="dxa"/>
        </w:tblCellMar>
      </w:tblPr>
      <w:tblGrid>
        <w:gridCol w:w="4706"/>
        <w:gridCol w:w="510"/>
        <w:gridCol w:w="570"/>
        <w:gridCol w:w="364"/>
        <w:gridCol w:w="362"/>
        <w:gridCol w:w="566"/>
        <w:gridCol w:w="680"/>
        <w:gridCol w:w="424"/>
        <w:gridCol w:w="454"/>
        <w:gridCol w:w="397"/>
      </w:tblGrid>
      <w:tr>
        <w:tblPrEx>
          <w:tblBorders>
            <w:insideV w:val="single" w:sz="4"/>
            <w:insideH w:val="single" w:sz="4"/>
          </w:tblBorders>
        </w:tblPrEx>
        <w:tc>
          <w:tcPr>
            <w:tcW w:w="4706" w:type="dxa"/>
            <w:tcBorders>
              <w:top w:val="single" w:sz="4"/>
              <w:bottom w:val="single" w:sz="4"/>
            </w:tcBorders>
          </w:tcPr>
          <w:p>
            <w:pPr>
              <w:pStyle w:val="0"/>
            </w:pPr>
            <w:r>
              <w:rPr>
                <w:sz w:val="20"/>
              </w:rPr>
              <w:t xml:space="preserve">1. Регистрационный номер заявления</w:t>
            </w:r>
          </w:p>
          <w:p>
            <w:pPr>
              <w:pStyle w:val="0"/>
            </w:pPr>
            <w:r>
              <w:rPr>
                <w:sz w:val="20"/>
              </w:rPr>
              <w:t xml:space="preserve">(заполняется при сдаче документов) &lt;*&gt;</w:t>
            </w:r>
          </w:p>
        </w:tc>
        <w:tc>
          <w:tcPr>
            <w:gridSpan w:val="9"/>
            <w:tcW w:w="4327" w:type="dxa"/>
            <w:tcBorders>
              <w:top w:val="single" w:sz="4"/>
              <w:bottom w:val="single" w:sz="4"/>
            </w:tcBorders>
          </w:tcPr>
          <w:p>
            <w:pPr>
              <w:pStyle w:val="0"/>
            </w:pPr>
            <w:r>
              <w:rPr>
                <w:sz w:val="20"/>
              </w:rPr>
            </w:r>
          </w:p>
        </w:tc>
      </w:tr>
      <w:tr>
        <w:tblPrEx>
          <w:tblBorders>
            <w:insideH w:val="single" w:sz="4"/>
          </w:tblBorders>
        </w:tblPrEx>
        <w:tc>
          <w:tcPr>
            <w:tcW w:w="4706" w:type="dxa"/>
            <w:tcBorders>
              <w:top w:val="single" w:sz="4"/>
              <w:left w:val="single" w:sz="4"/>
              <w:bottom w:val="single" w:sz="4"/>
              <w:right w:val="single" w:sz="4"/>
            </w:tcBorders>
            <w:vMerge w:val="restart"/>
          </w:tcPr>
          <w:p>
            <w:pPr>
              <w:pStyle w:val="0"/>
            </w:pPr>
            <w:r>
              <w:rPr>
                <w:sz w:val="20"/>
              </w:rPr>
              <w:t xml:space="preserve">2. Дата и время получения заявления</w:t>
            </w:r>
          </w:p>
          <w:p>
            <w:pPr>
              <w:pStyle w:val="0"/>
            </w:pPr>
            <w:r>
              <w:rPr>
                <w:sz w:val="20"/>
              </w:rPr>
              <w:t xml:space="preserve">(заполняется при сдаче документов) &lt;*&gt;</w:t>
            </w:r>
          </w:p>
        </w:tc>
        <w:tc>
          <w:tcPr>
            <w:tcW w:w="510" w:type="dxa"/>
            <w:tcBorders>
              <w:top w:val="single" w:sz="4"/>
              <w:left w:val="single" w:sz="4"/>
              <w:bottom w:val="nil"/>
              <w:right w:val="nil"/>
            </w:tcBorders>
          </w:tcPr>
          <w:p>
            <w:pPr>
              <w:pStyle w:val="0"/>
              <w:jc w:val="right"/>
            </w:pPr>
            <w:r>
              <w:rPr>
                <w:sz w:val="20"/>
              </w:rPr>
              <w:t xml:space="preserve">"</w:t>
            </w:r>
          </w:p>
        </w:tc>
        <w:tc>
          <w:tcPr>
            <w:tcW w:w="570" w:type="dxa"/>
            <w:tcBorders>
              <w:top w:val="single" w:sz="4"/>
              <w:left w:val="nil"/>
              <w:bottom w:val="single" w:sz="4"/>
              <w:right w:val="nil"/>
            </w:tcBorders>
          </w:tcPr>
          <w:p>
            <w:pPr>
              <w:pStyle w:val="0"/>
            </w:pPr>
            <w:r>
              <w:rPr>
                <w:sz w:val="20"/>
              </w:rPr>
            </w:r>
          </w:p>
        </w:tc>
        <w:tc>
          <w:tcPr>
            <w:tcW w:w="364" w:type="dxa"/>
            <w:tcBorders>
              <w:top w:val="single" w:sz="4"/>
              <w:left w:val="nil"/>
              <w:bottom w:val="nil"/>
              <w:right w:val="nil"/>
            </w:tcBorders>
          </w:tcPr>
          <w:p>
            <w:pPr>
              <w:pStyle w:val="0"/>
            </w:pPr>
            <w:r>
              <w:rPr>
                <w:sz w:val="20"/>
              </w:rPr>
              <w:t xml:space="preserve">"</w:t>
            </w:r>
          </w:p>
        </w:tc>
        <w:tc>
          <w:tcPr>
            <w:gridSpan w:val="3"/>
            <w:tcW w:w="1608" w:type="dxa"/>
            <w:tcBorders>
              <w:top w:val="single" w:sz="4"/>
              <w:left w:val="nil"/>
              <w:bottom w:val="single" w:sz="4"/>
              <w:right w:val="nil"/>
            </w:tcBorders>
          </w:tcPr>
          <w:p>
            <w:pPr>
              <w:pStyle w:val="0"/>
            </w:pPr>
            <w:r>
              <w:rPr>
                <w:sz w:val="20"/>
              </w:rPr>
            </w:r>
          </w:p>
        </w:tc>
        <w:tc>
          <w:tcPr>
            <w:tcW w:w="424" w:type="dxa"/>
            <w:tcBorders>
              <w:top w:val="single" w:sz="4"/>
              <w:left w:val="nil"/>
              <w:bottom w:val="nil"/>
              <w:right w:val="nil"/>
            </w:tcBorders>
          </w:tcPr>
          <w:p>
            <w:pPr>
              <w:pStyle w:val="0"/>
            </w:pPr>
            <w:r>
              <w:rPr>
                <w:sz w:val="20"/>
              </w:rPr>
              <w:t xml:space="preserve">20</w:t>
            </w:r>
          </w:p>
        </w:tc>
        <w:tc>
          <w:tcPr>
            <w:tcW w:w="454" w:type="dxa"/>
            <w:tcBorders>
              <w:top w:val="single" w:sz="4"/>
              <w:left w:val="nil"/>
              <w:bottom w:val="single" w:sz="4"/>
              <w:right w:val="nil"/>
            </w:tcBorders>
          </w:tcPr>
          <w:p>
            <w:pPr>
              <w:pStyle w:val="0"/>
            </w:pPr>
            <w:r>
              <w:rPr>
                <w:sz w:val="20"/>
              </w:rPr>
            </w:r>
          </w:p>
        </w:tc>
        <w:tc>
          <w:tcPr>
            <w:tcW w:w="397" w:type="dxa"/>
            <w:tcBorders>
              <w:top w:val="single" w:sz="4"/>
              <w:left w:val="nil"/>
              <w:bottom w:val="nil"/>
              <w:right w:val="single" w:sz="4"/>
            </w:tcBorders>
          </w:tcPr>
          <w:p>
            <w:pPr>
              <w:pStyle w:val="0"/>
            </w:pPr>
            <w:r>
              <w:rPr>
                <w:sz w:val="20"/>
              </w:rPr>
              <w:t xml:space="preserve">г.</w:t>
            </w:r>
          </w:p>
        </w:tc>
      </w:tr>
      <w:tr>
        <w:tblPrEx>
          <w:tblBorders>
            <w:insideV w:val="single" w:sz="4"/>
          </w:tblBorders>
        </w:tblPrEx>
        <w:tc>
          <w:tcPr>
            <w:tcBorders>
              <w:top w:val="single" w:sz="4"/>
              <w:bottom w:val="single" w:sz="4"/>
            </w:tcBorders>
            <w:vMerge w:val="continue"/>
          </w:tcPr>
          <w:p/>
        </w:tc>
        <w:tc>
          <w:tcPr>
            <w:gridSpan w:val="9"/>
            <w:tcW w:w="4327" w:type="dxa"/>
            <w:tcBorders>
              <w:top w:val="nil"/>
              <w:bottom w:val="nil"/>
            </w:tcBorders>
          </w:tcPr>
          <w:p>
            <w:pPr>
              <w:pStyle w:val="0"/>
            </w:pPr>
            <w:r>
              <w:rPr>
                <w:sz w:val="20"/>
              </w:rPr>
            </w:r>
          </w:p>
        </w:tc>
      </w:tr>
      <w:tr>
        <w:tc>
          <w:tcPr>
            <w:tcBorders>
              <w:top w:val="single" w:sz="4"/>
              <w:left w:val="single" w:sz="4"/>
              <w:bottom w:val="single" w:sz="4"/>
              <w:right w:val="single" w:sz="4"/>
            </w:tcBorders>
            <w:vMerge w:val="continue"/>
          </w:tcPr>
          <w:p/>
        </w:tc>
        <w:tc>
          <w:tcPr>
            <w:tcW w:w="510" w:type="dxa"/>
            <w:tcBorders>
              <w:top w:val="nil"/>
              <w:left w:val="single" w:sz="4"/>
              <w:bottom w:val="nil"/>
              <w:right w:val="nil"/>
            </w:tcBorders>
          </w:tcPr>
          <w:p>
            <w:pPr>
              <w:pStyle w:val="0"/>
            </w:pPr>
            <w:r>
              <w:rPr>
                <w:sz w:val="20"/>
              </w:rPr>
            </w:r>
          </w:p>
        </w:tc>
        <w:tc>
          <w:tcPr>
            <w:tcW w:w="570" w:type="dxa"/>
            <w:tcBorders>
              <w:top w:val="nil"/>
              <w:left w:val="nil"/>
              <w:bottom w:val="single" w:sz="4"/>
              <w:right w:val="nil"/>
            </w:tcBorders>
          </w:tcPr>
          <w:p>
            <w:pPr>
              <w:pStyle w:val="0"/>
            </w:pPr>
            <w:r>
              <w:rPr>
                <w:sz w:val="20"/>
              </w:rPr>
            </w:r>
          </w:p>
        </w:tc>
        <w:tc>
          <w:tcPr>
            <w:gridSpan w:val="2"/>
            <w:tcW w:w="726" w:type="dxa"/>
            <w:tcBorders>
              <w:top w:val="nil"/>
              <w:left w:val="nil"/>
              <w:bottom w:val="nil"/>
              <w:right w:val="nil"/>
            </w:tcBorders>
          </w:tcPr>
          <w:p>
            <w:pPr>
              <w:pStyle w:val="0"/>
            </w:pPr>
            <w:r>
              <w:rPr>
                <w:sz w:val="20"/>
              </w:rPr>
              <w:t xml:space="preserve">час.</w:t>
            </w:r>
          </w:p>
        </w:tc>
        <w:tc>
          <w:tcPr>
            <w:tcW w:w="566" w:type="dxa"/>
            <w:tcBorders>
              <w:top w:val="nil"/>
              <w:left w:val="nil"/>
              <w:bottom w:val="single" w:sz="4"/>
              <w:right w:val="nil"/>
            </w:tcBorders>
          </w:tcPr>
          <w:p>
            <w:pPr>
              <w:pStyle w:val="0"/>
            </w:pPr>
            <w:r>
              <w:rPr>
                <w:sz w:val="20"/>
              </w:rPr>
            </w:r>
          </w:p>
        </w:tc>
        <w:tc>
          <w:tcPr>
            <w:gridSpan w:val="4"/>
            <w:tcW w:w="1955" w:type="dxa"/>
            <w:tcBorders>
              <w:top w:val="nil"/>
              <w:left w:val="nil"/>
              <w:bottom w:val="nil"/>
              <w:right w:val="single" w:sz="4"/>
            </w:tcBorders>
          </w:tcPr>
          <w:p>
            <w:pPr>
              <w:pStyle w:val="0"/>
            </w:pPr>
            <w:r>
              <w:rPr>
                <w:sz w:val="20"/>
              </w:rPr>
              <w:t xml:space="preserve">мин.</w:t>
            </w:r>
          </w:p>
        </w:tc>
      </w:tr>
      <w:tr>
        <w:tblPrEx>
          <w:tblBorders>
            <w:insideV w:val="single" w:sz="4"/>
          </w:tblBorders>
        </w:tblPrEx>
        <w:tc>
          <w:tcPr>
            <w:tcBorders>
              <w:top w:val="single" w:sz="4"/>
              <w:bottom w:val="single" w:sz="4"/>
            </w:tcBorders>
            <w:vMerge w:val="continue"/>
          </w:tcPr>
          <w:p/>
        </w:tc>
        <w:tc>
          <w:tcPr>
            <w:gridSpan w:val="9"/>
            <w:tcW w:w="4327" w:type="dxa"/>
            <w:tcBorders>
              <w:top w:val="nil"/>
              <w:bottom w:val="single" w:sz="4"/>
            </w:tcBorders>
          </w:tcPr>
          <w:p>
            <w:pPr>
              <w:pStyle w:val="0"/>
            </w:pPr>
            <w:r>
              <w:rPr>
                <w:sz w:val="20"/>
              </w:rPr>
            </w:r>
          </w:p>
        </w:tc>
      </w:tr>
    </w:tbl>
    <w:p>
      <w:pPr>
        <w:pStyle w:val="0"/>
        <w:jc w:val="both"/>
      </w:pPr>
      <w:r>
        <w:rPr>
          <w:sz w:val="20"/>
        </w:rPr>
      </w:r>
    </w:p>
    <w:tbl>
      <w:tblPr>
        <w:tblInd w:w="0" w:type="dxa"/>
        <w:tblLayout w:type="fixed"/>
        <w:tblCellMar>
          <w:top w:w="102" w:type="dxa"/>
          <w:left w:w="62" w:type="dxa"/>
          <w:bottom w:w="102" w:type="dxa"/>
          <w:right w:w="62" w:type="dxa"/>
        </w:tblCellMar>
      </w:tblPr>
      <w:tblGrid>
        <w:gridCol w:w="627"/>
        <w:gridCol w:w="3458"/>
        <w:gridCol w:w="1329"/>
        <w:gridCol w:w="372"/>
        <w:gridCol w:w="3288"/>
      </w:tblGrid>
      <w:tr>
        <w:tc>
          <w:tcPr>
            <w:gridSpan w:val="5"/>
            <w:tcW w:w="9074" w:type="dxa"/>
            <w:tcBorders>
              <w:top w:val="nil"/>
              <w:left w:val="nil"/>
              <w:bottom w:val="nil"/>
              <w:right w:val="nil"/>
            </w:tcBorders>
          </w:tcPr>
          <w:p>
            <w:pPr>
              <w:pStyle w:val="0"/>
              <w:ind w:firstLine="283"/>
              <w:jc w:val="both"/>
            </w:pPr>
            <w:r>
              <w:rPr>
                <w:sz w:val="20"/>
              </w:rPr>
              <w:t xml:space="preserve">--------------------------------</w:t>
            </w:r>
          </w:p>
          <w:p>
            <w:pPr>
              <w:pStyle w:val="0"/>
              <w:ind w:firstLine="283"/>
              <w:jc w:val="both"/>
            </w:pPr>
            <w:r>
              <w:rPr>
                <w:sz w:val="20"/>
              </w:rPr>
              <w:t xml:space="preserve">&lt;*&gt; Заполняется уполномоченным органом при приеме документов.</w:t>
            </w:r>
          </w:p>
        </w:tc>
      </w:tr>
      <w:tr>
        <w:tc>
          <w:tcPr>
            <w:gridSpan w:val="5"/>
            <w:tcW w:w="9074" w:type="dxa"/>
            <w:tcBorders>
              <w:top w:val="nil"/>
              <w:left w:val="nil"/>
              <w:bottom w:val="nil"/>
              <w:right w:val="nil"/>
            </w:tcBorders>
          </w:tcPr>
          <w:p>
            <w:pPr>
              <w:pStyle w:val="0"/>
            </w:pPr>
            <w:r>
              <w:rPr>
                <w:sz w:val="20"/>
              </w:rPr>
            </w:r>
          </w:p>
        </w:tc>
      </w:tr>
      <w:tr>
        <w:tc>
          <w:tcPr>
            <w:gridSpan w:val="5"/>
            <w:tcW w:w="9074" w:type="dxa"/>
            <w:tcBorders>
              <w:top w:val="nil"/>
              <w:left w:val="nil"/>
              <w:bottom w:val="nil"/>
              <w:right w:val="nil"/>
            </w:tcBorders>
          </w:tcPr>
          <w:p>
            <w:pPr>
              <w:pStyle w:val="0"/>
              <w:ind w:firstLine="283"/>
              <w:jc w:val="both"/>
            </w:pPr>
            <w:r>
              <w:rPr>
                <w:sz w:val="20"/>
              </w:rPr>
              <w:t xml:space="preserve">Заявителем дается согласие на осуществление уполномоченным органом и органами государственного финансового контроля проверок, предусмотренных </w:t>
            </w:r>
            <w:hyperlink w:history="0" r:id="rId40" w:tooltip="&quot;Бюджетный кодекс Российской Федерации&quot; от 31.07.1998 N 145-ФЗ (ред. от 28.11.2025) ------------ Недействующая редакция {КонсультантПлюс}">
              <w:r>
                <w:rPr>
                  <w:sz w:val="20"/>
                  <w:color w:val="0000ff"/>
                </w:rPr>
                <w:t xml:space="preserve">подпунктом 2.2 пункта 2 статьи 78.1</w:t>
              </w:r>
            </w:hyperlink>
            <w:r>
              <w:rPr>
                <w:sz w:val="20"/>
              </w:rPr>
              <w:t xml:space="preserve"> Бюджетного кодекса Российской Федерации.</w:t>
            </w:r>
          </w:p>
          <w:p>
            <w:pPr>
              <w:pStyle w:val="0"/>
              <w:ind w:firstLine="283"/>
              <w:jc w:val="both"/>
            </w:pPr>
            <w:r>
              <w:rPr>
                <w:sz w:val="20"/>
              </w:rPr>
              <w:t xml:space="preserve">С условиями конкурса, а также целями, условиями и порядком предоставления и использования гранта организация-заявитель ознакомлена.</w:t>
            </w:r>
          </w:p>
          <w:p>
            <w:pPr>
              <w:pStyle w:val="0"/>
              <w:ind w:firstLine="283"/>
              <w:jc w:val="both"/>
            </w:pPr>
            <w:r>
              <w:rPr>
                <w:sz w:val="20"/>
              </w:rPr>
              <w:t xml:space="preserve">Прошу принять заявку на участие в конкурсе.</w:t>
            </w:r>
          </w:p>
          <w:p>
            <w:pPr>
              <w:pStyle w:val="0"/>
              <w:ind w:firstLine="283"/>
              <w:jc w:val="both"/>
            </w:pPr>
            <w:r>
              <w:rPr>
                <w:sz w:val="20"/>
              </w:rPr>
              <w:t xml:space="preserve">Прошу направлять информацию, связанную с участием в конкурсе следующим способом:</w:t>
            </w:r>
          </w:p>
        </w:tc>
      </w:tr>
      <w:tr>
        <w:tblPrEx>
          <w:tblBorders>
            <w:left w:val="single" w:sz="4"/>
            <w:insideV w:val="single" w:sz="4"/>
            <w:insideH w:val="single" w:sz="4"/>
          </w:tblBorders>
        </w:tblPrEx>
        <w:tc>
          <w:tcPr>
            <w:tcW w:w="627" w:type="dxa"/>
            <w:tcBorders>
              <w:top w:val="single" w:sz="4"/>
              <w:bottom w:val="single" w:sz="4"/>
            </w:tcBorders>
          </w:tcPr>
          <w:p>
            <w:pPr>
              <w:pStyle w:val="0"/>
            </w:pPr>
            <w:r>
              <w:rPr>
                <w:sz w:val="20"/>
              </w:rPr>
            </w:r>
          </w:p>
        </w:tc>
        <w:tc>
          <w:tcPr>
            <w:gridSpan w:val="4"/>
            <w:tcW w:w="8447" w:type="dxa"/>
            <w:tcBorders>
              <w:top w:val="nil"/>
              <w:bottom w:val="single" w:sz="4"/>
              <w:right w:val="nil"/>
            </w:tcBorders>
          </w:tcPr>
          <w:p>
            <w:pPr>
              <w:pStyle w:val="0"/>
            </w:pPr>
            <w:r>
              <w:rPr>
                <w:sz w:val="20"/>
              </w:rPr>
              <w:t xml:space="preserve">на адрес электронной почты:</w:t>
            </w:r>
          </w:p>
        </w:tc>
      </w:tr>
      <w:tr>
        <w:tc>
          <w:tcPr>
            <w:gridSpan w:val="5"/>
            <w:tcW w:w="9074" w:type="dxa"/>
            <w:tcBorders>
              <w:top w:val="single" w:sz="4"/>
              <w:left w:val="nil"/>
              <w:bottom w:val="nil"/>
              <w:right w:val="nil"/>
            </w:tcBorders>
          </w:tcPr>
          <w:p>
            <w:pPr>
              <w:pStyle w:val="0"/>
            </w:pPr>
            <w:r>
              <w:rPr>
                <w:sz w:val="20"/>
              </w:rPr>
            </w:r>
          </w:p>
        </w:tc>
      </w:tr>
      <w:tr>
        <w:tblPrEx>
          <w:tblBorders>
            <w:left w:val="single" w:sz="4"/>
            <w:insideV w:val="single" w:sz="4"/>
            <w:insideH w:val="single" w:sz="4"/>
          </w:tblBorders>
        </w:tblPrEx>
        <w:tc>
          <w:tcPr>
            <w:tcW w:w="627" w:type="dxa"/>
            <w:tcBorders>
              <w:top w:val="single" w:sz="4"/>
              <w:bottom w:val="single" w:sz="4"/>
            </w:tcBorders>
          </w:tcPr>
          <w:p>
            <w:pPr>
              <w:pStyle w:val="0"/>
            </w:pPr>
            <w:r>
              <w:rPr>
                <w:sz w:val="20"/>
              </w:rPr>
            </w:r>
          </w:p>
        </w:tc>
        <w:tc>
          <w:tcPr>
            <w:gridSpan w:val="4"/>
            <w:tcW w:w="8447" w:type="dxa"/>
            <w:tcBorders>
              <w:top w:val="nil"/>
              <w:bottom w:val="single" w:sz="4"/>
              <w:right w:val="nil"/>
            </w:tcBorders>
          </w:tcPr>
          <w:p>
            <w:pPr>
              <w:pStyle w:val="0"/>
            </w:pPr>
            <w:r>
              <w:rPr>
                <w:sz w:val="20"/>
              </w:rPr>
              <w:t xml:space="preserve">почтой России.</w:t>
            </w:r>
          </w:p>
        </w:tc>
      </w:tr>
      <w:tr>
        <w:tc>
          <w:tcPr>
            <w:gridSpan w:val="5"/>
            <w:tcW w:w="9074" w:type="dxa"/>
            <w:tcBorders>
              <w:top w:val="single" w:sz="4"/>
              <w:left w:val="nil"/>
              <w:bottom w:val="nil"/>
              <w:right w:val="nil"/>
            </w:tcBorders>
          </w:tcPr>
          <w:p>
            <w:pPr>
              <w:pStyle w:val="0"/>
            </w:pPr>
            <w:r>
              <w:rPr>
                <w:sz w:val="20"/>
              </w:rPr>
            </w:r>
          </w:p>
        </w:tc>
      </w:tr>
      <w:tr>
        <w:tc>
          <w:tcPr>
            <w:gridSpan w:val="2"/>
            <w:tcW w:w="4085" w:type="dxa"/>
            <w:tcBorders>
              <w:top w:val="nil"/>
              <w:left w:val="nil"/>
              <w:bottom w:val="nil"/>
              <w:right w:val="nil"/>
            </w:tcBorders>
          </w:tcPr>
          <w:p>
            <w:pPr>
              <w:pStyle w:val="0"/>
            </w:pPr>
            <w:r>
              <w:rPr>
                <w:sz w:val="20"/>
              </w:rPr>
              <w:t xml:space="preserve">Руководитель организации-заявителя (иное уполномоченное лицо)</w:t>
            </w:r>
          </w:p>
        </w:tc>
        <w:tc>
          <w:tcPr>
            <w:tcW w:w="1329" w:type="dxa"/>
            <w:tcBorders>
              <w:top w:val="nil"/>
              <w:left w:val="nil"/>
              <w:bottom w:val="single" w:sz="4"/>
              <w:right w:val="nil"/>
            </w:tcBorders>
          </w:tcPr>
          <w:p>
            <w:pPr>
              <w:pStyle w:val="0"/>
            </w:pPr>
            <w:r>
              <w:rPr>
                <w:sz w:val="20"/>
              </w:rPr>
            </w:r>
          </w:p>
        </w:tc>
        <w:tc>
          <w:tcPr>
            <w:tcW w:w="372" w:type="dxa"/>
            <w:tcBorders>
              <w:top w:val="nil"/>
              <w:left w:val="nil"/>
              <w:bottom w:val="nil"/>
              <w:right w:val="nil"/>
            </w:tcBorders>
            <w:vMerge w:val="restart"/>
          </w:tcPr>
          <w:p>
            <w:pPr>
              <w:pStyle w:val="0"/>
            </w:pPr>
            <w:r>
              <w:rPr>
                <w:sz w:val="20"/>
              </w:rPr>
            </w:r>
          </w:p>
        </w:tc>
        <w:tc>
          <w:tcPr>
            <w:tcW w:w="3288" w:type="dxa"/>
            <w:tcBorders>
              <w:top w:val="nil"/>
              <w:left w:val="nil"/>
              <w:bottom w:val="single" w:sz="4"/>
              <w:right w:val="nil"/>
            </w:tcBorders>
          </w:tcPr>
          <w:p>
            <w:pPr>
              <w:pStyle w:val="0"/>
            </w:pPr>
            <w:r>
              <w:rPr>
                <w:sz w:val="20"/>
              </w:rPr>
            </w:r>
          </w:p>
        </w:tc>
      </w:tr>
      <w:tr>
        <w:tc>
          <w:tcPr>
            <w:gridSpan w:val="2"/>
            <w:tcW w:w="4085" w:type="dxa"/>
            <w:tcBorders>
              <w:top w:val="nil"/>
              <w:left w:val="nil"/>
              <w:bottom w:val="nil"/>
              <w:right w:val="nil"/>
            </w:tcBorders>
          </w:tcPr>
          <w:p>
            <w:pPr>
              <w:pStyle w:val="0"/>
            </w:pPr>
            <w:r>
              <w:rPr>
                <w:sz w:val="20"/>
              </w:rPr>
            </w:r>
          </w:p>
        </w:tc>
        <w:tc>
          <w:tcPr>
            <w:tcW w:w="1329" w:type="dxa"/>
            <w:tcBorders>
              <w:top w:val="single" w:sz="4"/>
              <w:left w:val="nil"/>
              <w:bottom w:val="nil"/>
              <w:right w:val="nil"/>
            </w:tcBorders>
          </w:tcPr>
          <w:p>
            <w:pPr>
              <w:pStyle w:val="0"/>
              <w:jc w:val="center"/>
            </w:pPr>
            <w:r>
              <w:rPr>
                <w:sz w:val="20"/>
              </w:rPr>
              <w:t xml:space="preserve">(подпись)</w:t>
            </w:r>
          </w:p>
        </w:tc>
        <w:tc>
          <w:tcPr>
            <w:tcBorders>
              <w:top w:val="nil"/>
              <w:left w:val="nil"/>
              <w:bottom w:val="nil"/>
              <w:right w:val="nil"/>
            </w:tcBorders>
            <w:vMerge w:val="continue"/>
          </w:tcPr>
          <w:p/>
        </w:tc>
        <w:tc>
          <w:tcPr>
            <w:tcW w:w="3288" w:type="dxa"/>
            <w:tcBorders>
              <w:top w:val="single" w:sz="4"/>
              <w:left w:val="nil"/>
              <w:bottom w:val="nil"/>
              <w:right w:val="nil"/>
            </w:tcBorders>
          </w:tcPr>
          <w:p>
            <w:pPr>
              <w:pStyle w:val="0"/>
              <w:jc w:val="center"/>
            </w:pPr>
            <w:r>
              <w:rPr>
                <w:sz w:val="20"/>
              </w:rPr>
              <w:t xml:space="preserve">(расшифровка подписи)</w:t>
            </w:r>
          </w:p>
        </w:tc>
      </w:tr>
      <w:tr>
        <w:tc>
          <w:tcPr>
            <w:gridSpan w:val="2"/>
            <w:tcW w:w="4085" w:type="dxa"/>
            <w:tcBorders>
              <w:top w:val="nil"/>
              <w:left w:val="nil"/>
              <w:bottom w:val="nil"/>
              <w:right w:val="nil"/>
            </w:tcBorders>
          </w:tcPr>
          <w:p>
            <w:pPr>
              <w:pStyle w:val="0"/>
            </w:pPr>
            <w:r>
              <w:rPr>
                <w:sz w:val="20"/>
              </w:rPr>
              <w:t xml:space="preserve">"__"___________ 20__ года</w:t>
            </w:r>
          </w:p>
        </w:tc>
        <w:tc>
          <w:tcPr>
            <w:gridSpan w:val="3"/>
            <w:tcW w:w="4989" w:type="dxa"/>
            <w:tcBorders>
              <w:top w:val="nil"/>
              <w:left w:val="nil"/>
              <w:bottom w:val="nil"/>
              <w:right w:val="nil"/>
            </w:tcBorders>
          </w:tcPr>
          <w:p>
            <w:pPr>
              <w:pStyle w:val="0"/>
            </w:pPr>
            <w:r>
              <w:rPr>
                <w:sz w:val="20"/>
              </w:rPr>
            </w:r>
          </w:p>
        </w:tc>
      </w:tr>
      <w:tr>
        <w:tc>
          <w:tcPr>
            <w:gridSpan w:val="5"/>
            <w:tcW w:w="9074" w:type="dxa"/>
            <w:tcBorders>
              <w:top w:val="nil"/>
              <w:left w:val="nil"/>
              <w:bottom w:val="nil"/>
              <w:right w:val="nil"/>
            </w:tcBorders>
          </w:tcPr>
          <w:p>
            <w:pPr>
              <w:pStyle w:val="0"/>
            </w:pPr>
            <w:r>
              <w:rPr>
                <w:sz w:val="20"/>
              </w:rPr>
            </w:r>
          </w:p>
        </w:tc>
      </w:tr>
      <w:tr>
        <w:tc>
          <w:tcPr>
            <w:gridSpan w:val="5"/>
            <w:tcW w:w="9074" w:type="dxa"/>
            <w:tcBorders>
              <w:top w:val="nil"/>
              <w:left w:val="nil"/>
              <w:bottom w:val="nil"/>
              <w:right w:val="nil"/>
            </w:tcBorders>
          </w:tcPr>
          <w:p>
            <w:pPr>
              <w:pStyle w:val="0"/>
              <w:outlineLvl w:val="2"/>
              <w:jc w:val="center"/>
            </w:pPr>
            <w:r>
              <w:rPr>
                <w:sz w:val="20"/>
              </w:rPr>
              <w:t xml:space="preserve">Информация для отбора</w:t>
            </w:r>
          </w:p>
        </w:tc>
      </w:tr>
    </w:tbl>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680"/>
        <w:gridCol w:w="4307"/>
        <w:gridCol w:w="4082"/>
      </w:tblGrid>
      <w:tr>
        <w:tc>
          <w:tcPr>
            <w:gridSpan w:val="2"/>
            <w:tcW w:w="4987" w:type="dxa"/>
          </w:tcPr>
          <w:p>
            <w:pPr>
              <w:pStyle w:val="0"/>
              <w:jc w:val="center"/>
            </w:pPr>
            <w:r>
              <w:rPr>
                <w:sz w:val="20"/>
              </w:rPr>
              <w:t xml:space="preserve">Наименование организации-заявителя</w:t>
            </w:r>
          </w:p>
        </w:tc>
        <w:tc>
          <w:tcPr>
            <w:tcW w:w="4082" w:type="dxa"/>
          </w:tcPr>
          <w:p>
            <w:pPr>
              <w:pStyle w:val="0"/>
            </w:pPr>
            <w:r>
              <w:rPr>
                <w:sz w:val="20"/>
              </w:rPr>
            </w:r>
          </w:p>
        </w:tc>
      </w:tr>
      <w:tr>
        <w:tc>
          <w:tcPr>
            <w:gridSpan w:val="3"/>
            <w:tcW w:w="9069" w:type="dxa"/>
          </w:tcPr>
          <w:p>
            <w:pPr>
              <w:pStyle w:val="0"/>
              <w:outlineLvl w:val="3"/>
              <w:jc w:val="center"/>
            </w:pPr>
            <w:r>
              <w:rPr>
                <w:sz w:val="20"/>
              </w:rPr>
              <w:t xml:space="preserve">1. Контактная информация</w:t>
            </w:r>
          </w:p>
        </w:tc>
      </w:tr>
      <w:tr>
        <w:tc>
          <w:tcPr>
            <w:tcW w:w="680" w:type="dxa"/>
          </w:tcPr>
          <w:p>
            <w:pPr>
              <w:pStyle w:val="0"/>
            </w:pPr>
            <w:r>
              <w:rPr>
                <w:sz w:val="20"/>
              </w:rPr>
              <w:t xml:space="preserve">1.1.</w:t>
            </w:r>
          </w:p>
        </w:tc>
        <w:tc>
          <w:tcPr>
            <w:tcW w:w="4307" w:type="dxa"/>
          </w:tcPr>
          <w:p>
            <w:pPr>
              <w:pStyle w:val="0"/>
            </w:pPr>
            <w:r>
              <w:rPr>
                <w:sz w:val="20"/>
              </w:rPr>
              <w:t xml:space="preserve">Полное наименование организации-заявителя</w:t>
            </w:r>
          </w:p>
        </w:tc>
        <w:tc>
          <w:tcPr>
            <w:tcW w:w="4082" w:type="dxa"/>
          </w:tcPr>
          <w:p>
            <w:pPr>
              <w:pStyle w:val="0"/>
            </w:pPr>
            <w:r>
              <w:rPr>
                <w:sz w:val="20"/>
              </w:rPr>
            </w:r>
          </w:p>
        </w:tc>
      </w:tr>
      <w:tr>
        <w:tc>
          <w:tcPr>
            <w:tcW w:w="680" w:type="dxa"/>
          </w:tcPr>
          <w:p>
            <w:pPr>
              <w:pStyle w:val="0"/>
            </w:pPr>
            <w:r>
              <w:rPr>
                <w:sz w:val="20"/>
              </w:rPr>
              <w:t xml:space="preserve">1.2.</w:t>
            </w:r>
          </w:p>
        </w:tc>
        <w:tc>
          <w:tcPr>
            <w:tcW w:w="4307" w:type="dxa"/>
          </w:tcPr>
          <w:p>
            <w:pPr>
              <w:pStyle w:val="0"/>
            </w:pPr>
            <w:r>
              <w:rPr>
                <w:sz w:val="20"/>
              </w:rPr>
              <w:t xml:space="preserve">Адрес юридический</w:t>
            </w:r>
          </w:p>
        </w:tc>
        <w:tc>
          <w:tcPr>
            <w:tcW w:w="4082" w:type="dxa"/>
          </w:tcPr>
          <w:p>
            <w:pPr>
              <w:pStyle w:val="0"/>
            </w:pPr>
            <w:r>
              <w:rPr>
                <w:sz w:val="20"/>
              </w:rPr>
            </w:r>
          </w:p>
        </w:tc>
      </w:tr>
      <w:tr>
        <w:tc>
          <w:tcPr>
            <w:tcW w:w="680" w:type="dxa"/>
          </w:tcPr>
          <w:p>
            <w:pPr>
              <w:pStyle w:val="0"/>
            </w:pPr>
            <w:r>
              <w:rPr>
                <w:sz w:val="20"/>
              </w:rPr>
              <w:t xml:space="preserve">1.3.</w:t>
            </w:r>
          </w:p>
        </w:tc>
        <w:tc>
          <w:tcPr>
            <w:tcW w:w="4307" w:type="dxa"/>
          </w:tcPr>
          <w:p>
            <w:pPr>
              <w:pStyle w:val="0"/>
            </w:pPr>
            <w:r>
              <w:rPr>
                <w:sz w:val="20"/>
              </w:rPr>
              <w:t xml:space="preserve">Адрес фактический</w:t>
            </w:r>
          </w:p>
        </w:tc>
        <w:tc>
          <w:tcPr>
            <w:tcW w:w="4082" w:type="dxa"/>
          </w:tcPr>
          <w:p>
            <w:pPr>
              <w:pStyle w:val="0"/>
            </w:pPr>
            <w:r>
              <w:rPr>
                <w:sz w:val="20"/>
              </w:rPr>
            </w:r>
          </w:p>
        </w:tc>
      </w:tr>
      <w:tr>
        <w:tc>
          <w:tcPr>
            <w:tcW w:w="680" w:type="dxa"/>
          </w:tcPr>
          <w:p>
            <w:pPr>
              <w:pStyle w:val="0"/>
            </w:pPr>
            <w:r>
              <w:rPr>
                <w:sz w:val="20"/>
              </w:rPr>
              <w:t xml:space="preserve">1.4.</w:t>
            </w:r>
          </w:p>
        </w:tc>
        <w:tc>
          <w:tcPr>
            <w:tcW w:w="4307" w:type="dxa"/>
          </w:tcPr>
          <w:p>
            <w:pPr>
              <w:pStyle w:val="0"/>
            </w:pPr>
            <w:r>
              <w:rPr>
                <w:sz w:val="20"/>
              </w:rPr>
              <w:t xml:space="preserve">Адрес электронной почты</w:t>
            </w:r>
          </w:p>
        </w:tc>
        <w:tc>
          <w:tcPr>
            <w:tcW w:w="4082" w:type="dxa"/>
          </w:tcPr>
          <w:p>
            <w:pPr>
              <w:pStyle w:val="0"/>
            </w:pPr>
            <w:r>
              <w:rPr>
                <w:sz w:val="20"/>
              </w:rPr>
            </w:r>
          </w:p>
        </w:tc>
      </w:tr>
      <w:tr>
        <w:tc>
          <w:tcPr>
            <w:tcW w:w="680" w:type="dxa"/>
          </w:tcPr>
          <w:p>
            <w:pPr>
              <w:pStyle w:val="0"/>
            </w:pPr>
            <w:r>
              <w:rPr>
                <w:sz w:val="20"/>
              </w:rPr>
              <w:t xml:space="preserve">1.5.</w:t>
            </w:r>
          </w:p>
        </w:tc>
        <w:tc>
          <w:tcPr>
            <w:tcW w:w="4307" w:type="dxa"/>
          </w:tcPr>
          <w:p>
            <w:pPr>
              <w:pStyle w:val="0"/>
            </w:pPr>
            <w:r>
              <w:rPr>
                <w:sz w:val="20"/>
              </w:rPr>
              <w:t xml:space="preserve">Контактный телефон</w:t>
            </w:r>
          </w:p>
        </w:tc>
        <w:tc>
          <w:tcPr>
            <w:tcW w:w="4082" w:type="dxa"/>
          </w:tcPr>
          <w:p>
            <w:pPr>
              <w:pStyle w:val="0"/>
            </w:pPr>
            <w:r>
              <w:rPr>
                <w:sz w:val="20"/>
              </w:rPr>
            </w:r>
          </w:p>
        </w:tc>
      </w:tr>
      <w:tr>
        <w:tc>
          <w:tcPr>
            <w:gridSpan w:val="3"/>
            <w:tcW w:w="9069" w:type="dxa"/>
          </w:tcPr>
          <w:p>
            <w:pPr>
              <w:pStyle w:val="0"/>
              <w:outlineLvl w:val="3"/>
              <w:jc w:val="center"/>
            </w:pPr>
            <w:r>
              <w:rPr>
                <w:sz w:val="20"/>
              </w:rPr>
              <w:t xml:space="preserve">2. Информация о Добро.Центре</w:t>
            </w:r>
          </w:p>
        </w:tc>
      </w:tr>
      <w:tr>
        <w:tc>
          <w:tcPr>
            <w:tcW w:w="680" w:type="dxa"/>
          </w:tcPr>
          <w:p>
            <w:pPr>
              <w:pStyle w:val="0"/>
            </w:pPr>
            <w:r>
              <w:rPr>
                <w:sz w:val="20"/>
              </w:rPr>
              <w:t xml:space="preserve">2.1.</w:t>
            </w:r>
          </w:p>
        </w:tc>
        <w:tc>
          <w:tcPr>
            <w:tcW w:w="4307" w:type="dxa"/>
          </w:tcPr>
          <w:p>
            <w:pPr>
              <w:pStyle w:val="0"/>
            </w:pPr>
            <w:r>
              <w:rPr>
                <w:sz w:val="20"/>
              </w:rPr>
              <w:t xml:space="preserve">Дата, номер аккредитованного договора с Ассоциацией волонтерских центров</w:t>
            </w:r>
          </w:p>
        </w:tc>
        <w:tc>
          <w:tcPr>
            <w:tcW w:w="4082" w:type="dxa"/>
          </w:tcPr>
          <w:p>
            <w:pPr>
              <w:pStyle w:val="0"/>
            </w:pPr>
            <w:r>
              <w:rPr>
                <w:sz w:val="20"/>
              </w:rPr>
            </w:r>
          </w:p>
        </w:tc>
      </w:tr>
      <w:tr>
        <w:tc>
          <w:tcPr>
            <w:tcW w:w="680" w:type="dxa"/>
          </w:tcPr>
          <w:p>
            <w:pPr>
              <w:pStyle w:val="0"/>
            </w:pPr>
            <w:r>
              <w:rPr>
                <w:sz w:val="20"/>
              </w:rPr>
              <w:t xml:space="preserve">2.2.</w:t>
            </w:r>
          </w:p>
        </w:tc>
        <w:tc>
          <w:tcPr>
            <w:tcW w:w="4307" w:type="dxa"/>
          </w:tcPr>
          <w:p>
            <w:pPr>
              <w:pStyle w:val="0"/>
            </w:pPr>
            <w:r>
              <w:rPr>
                <w:sz w:val="20"/>
              </w:rPr>
              <w:t xml:space="preserve">ID Добро.Центра на электронной платформе </w:t>
            </w:r>
            <w:hyperlink w:history="0" r:id="rId41">
              <w:r>
                <w:rPr>
                  <w:sz w:val="20"/>
                  <w:color w:val="0000ff"/>
                </w:rPr>
                <w:t xml:space="preserve">Добро.рф</w:t>
              </w:r>
            </w:hyperlink>
          </w:p>
        </w:tc>
        <w:tc>
          <w:tcPr>
            <w:tcW w:w="4082" w:type="dxa"/>
          </w:tcPr>
          <w:p>
            <w:pPr>
              <w:pStyle w:val="0"/>
            </w:pPr>
            <w:r>
              <w:rPr>
                <w:sz w:val="20"/>
              </w:rPr>
            </w:r>
          </w:p>
        </w:tc>
      </w:tr>
      <w:tr>
        <w:tc>
          <w:tcPr>
            <w:tcW w:w="680" w:type="dxa"/>
          </w:tcPr>
          <w:p>
            <w:pPr>
              <w:pStyle w:val="0"/>
            </w:pPr>
            <w:r>
              <w:rPr>
                <w:sz w:val="20"/>
              </w:rPr>
              <w:t xml:space="preserve">2.3.</w:t>
            </w:r>
          </w:p>
        </w:tc>
        <w:tc>
          <w:tcPr>
            <w:tcW w:w="4307" w:type="dxa"/>
          </w:tcPr>
          <w:p>
            <w:pPr>
              <w:pStyle w:val="0"/>
            </w:pPr>
            <w:r>
              <w:rPr>
                <w:sz w:val="20"/>
              </w:rPr>
              <w:t xml:space="preserve">Описание опыта организации по развитию добровольчества на территории Вологодской области</w:t>
            </w:r>
          </w:p>
        </w:tc>
        <w:tc>
          <w:tcPr>
            <w:tcW w:w="4082" w:type="dxa"/>
          </w:tcPr>
          <w:p>
            <w:pPr>
              <w:pStyle w:val="0"/>
            </w:pPr>
            <w:r>
              <w:rPr>
                <w:sz w:val="20"/>
              </w:rPr>
            </w:r>
          </w:p>
        </w:tc>
      </w:tr>
      <w:tr>
        <w:tc>
          <w:tcPr>
            <w:tcW w:w="680" w:type="dxa"/>
          </w:tcPr>
          <w:p>
            <w:pPr>
              <w:pStyle w:val="0"/>
            </w:pPr>
            <w:r>
              <w:rPr>
                <w:sz w:val="20"/>
              </w:rPr>
              <w:t xml:space="preserve">2.4.</w:t>
            </w:r>
          </w:p>
        </w:tc>
        <w:tc>
          <w:tcPr>
            <w:tcW w:w="4307" w:type="dxa"/>
          </w:tcPr>
          <w:p>
            <w:pPr>
              <w:pStyle w:val="0"/>
            </w:pPr>
            <w:r>
              <w:rPr>
                <w:sz w:val="20"/>
              </w:rPr>
              <w:t xml:space="preserve">Опыт участия в Международной премии "#МЫВМЕСТЕ"</w:t>
            </w:r>
          </w:p>
        </w:tc>
        <w:tc>
          <w:tcPr>
            <w:tcW w:w="4082" w:type="dxa"/>
          </w:tcPr>
          <w:p>
            <w:pPr>
              <w:pStyle w:val="0"/>
            </w:pPr>
            <w:r>
              <w:rPr>
                <w:sz w:val="20"/>
              </w:rPr>
            </w:r>
          </w:p>
        </w:tc>
      </w:tr>
      <w:tr>
        <w:tc>
          <w:tcPr>
            <w:tcW w:w="680" w:type="dxa"/>
          </w:tcPr>
          <w:p>
            <w:pPr>
              <w:pStyle w:val="0"/>
            </w:pPr>
            <w:r>
              <w:rPr>
                <w:sz w:val="20"/>
              </w:rPr>
              <w:t xml:space="preserve">2.5.</w:t>
            </w:r>
          </w:p>
        </w:tc>
        <w:tc>
          <w:tcPr>
            <w:tcW w:w="4307" w:type="dxa"/>
          </w:tcPr>
          <w:p>
            <w:pPr>
              <w:pStyle w:val="0"/>
            </w:pPr>
            <w:r>
              <w:rPr>
                <w:sz w:val="20"/>
              </w:rPr>
              <w:t xml:space="preserve">Участие в организации мероприятий на территории области за последние 2 года (кратко описать с указанием наименований и сроков мероприятий, роли Добро.Центра в организации)</w:t>
            </w:r>
          </w:p>
        </w:tc>
        <w:tc>
          <w:tcPr>
            <w:tcW w:w="4082" w:type="dxa"/>
          </w:tcPr>
          <w:p>
            <w:pPr>
              <w:pStyle w:val="0"/>
            </w:pPr>
            <w:r>
              <w:rPr>
                <w:sz w:val="20"/>
              </w:rPr>
            </w:r>
          </w:p>
        </w:tc>
      </w:tr>
      <w:tr>
        <w:tc>
          <w:tcPr>
            <w:tcW w:w="680" w:type="dxa"/>
          </w:tcPr>
          <w:p>
            <w:pPr>
              <w:pStyle w:val="0"/>
            </w:pPr>
            <w:r>
              <w:rPr>
                <w:sz w:val="20"/>
              </w:rPr>
              <w:t xml:space="preserve">2.6.</w:t>
            </w:r>
          </w:p>
        </w:tc>
        <w:tc>
          <w:tcPr>
            <w:tcW w:w="4307" w:type="dxa"/>
          </w:tcPr>
          <w:p>
            <w:pPr>
              <w:pStyle w:val="0"/>
            </w:pPr>
            <w:r>
              <w:rPr>
                <w:sz w:val="20"/>
              </w:rPr>
              <w:t xml:space="preserve">Опыт проведения мероприятий, совместно с Ресурсным центром за последние 3 года</w:t>
            </w:r>
          </w:p>
        </w:tc>
        <w:tc>
          <w:tcPr>
            <w:tcW w:w="4082" w:type="dxa"/>
          </w:tcPr>
          <w:p>
            <w:pPr>
              <w:pStyle w:val="0"/>
            </w:pPr>
            <w:r>
              <w:rPr>
                <w:sz w:val="20"/>
              </w:rPr>
            </w:r>
          </w:p>
        </w:tc>
      </w:tr>
      <w:tr>
        <w:tc>
          <w:tcPr>
            <w:tcW w:w="680" w:type="dxa"/>
          </w:tcPr>
          <w:p>
            <w:pPr>
              <w:pStyle w:val="0"/>
            </w:pPr>
            <w:r>
              <w:rPr>
                <w:sz w:val="20"/>
              </w:rPr>
              <w:t xml:space="preserve">2.7.</w:t>
            </w:r>
          </w:p>
        </w:tc>
        <w:tc>
          <w:tcPr>
            <w:tcW w:w="4307" w:type="dxa"/>
          </w:tcPr>
          <w:p>
            <w:pPr>
              <w:pStyle w:val="0"/>
            </w:pPr>
            <w:r>
              <w:rPr>
                <w:sz w:val="20"/>
              </w:rPr>
              <w:t xml:space="preserve">Проведение обучающих мероприятий для волонтеров, волонтерских организаций, НКО и благотворительных фондов за последние 3 года</w:t>
            </w:r>
          </w:p>
        </w:tc>
        <w:tc>
          <w:tcPr>
            <w:tcW w:w="4082" w:type="dxa"/>
          </w:tcPr>
          <w:p>
            <w:pPr>
              <w:pStyle w:val="0"/>
            </w:pPr>
            <w:r>
              <w:rPr>
                <w:sz w:val="20"/>
              </w:rPr>
            </w:r>
          </w:p>
        </w:tc>
      </w:tr>
      <w:tr>
        <w:tc>
          <w:tcPr>
            <w:tcW w:w="680" w:type="dxa"/>
          </w:tcPr>
          <w:p>
            <w:pPr>
              <w:pStyle w:val="0"/>
            </w:pPr>
            <w:r>
              <w:rPr>
                <w:sz w:val="20"/>
              </w:rPr>
              <w:t xml:space="preserve">2.8.</w:t>
            </w:r>
          </w:p>
        </w:tc>
        <w:tc>
          <w:tcPr>
            <w:tcW w:w="4307" w:type="dxa"/>
          </w:tcPr>
          <w:p>
            <w:pPr>
              <w:pStyle w:val="0"/>
            </w:pPr>
            <w:r>
              <w:rPr>
                <w:sz w:val="20"/>
              </w:rPr>
              <w:t xml:space="preserve">Наличие мероприятий/событий в сфере добровольчества с участием Губернатора Вологодской области, глав муниципальных округов и районов области и представителей регионального Правительства за последние 3 года</w:t>
            </w:r>
          </w:p>
        </w:tc>
        <w:tc>
          <w:tcPr>
            <w:tcW w:w="4082" w:type="dxa"/>
          </w:tcPr>
          <w:p>
            <w:pPr>
              <w:pStyle w:val="0"/>
            </w:pPr>
            <w:r>
              <w:rPr>
                <w:sz w:val="20"/>
              </w:rPr>
            </w:r>
          </w:p>
        </w:tc>
      </w:tr>
      <w:tr>
        <w:tc>
          <w:tcPr>
            <w:tcW w:w="680" w:type="dxa"/>
          </w:tcPr>
          <w:p>
            <w:pPr>
              <w:pStyle w:val="0"/>
            </w:pPr>
            <w:r>
              <w:rPr>
                <w:sz w:val="20"/>
              </w:rPr>
              <w:t xml:space="preserve">2.9.</w:t>
            </w:r>
          </w:p>
        </w:tc>
        <w:tc>
          <w:tcPr>
            <w:tcW w:w="4307" w:type="dxa"/>
          </w:tcPr>
          <w:p>
            <w:pPr>
              <w:pStyle w:val="0"/>
            </w:pPr>
            <w:r>
              <w:rPr>
                <w:sz w:val="20"/>
              </w:rPr>
              <w:t xml:space="preserve">Логическая связность и реализуемость мероприятий, указанных в информации для отбора, запланированных к реализации в процессе функционирования получателя гранта, соответствие мероприятий целям и задачам функционирования получателя гранта, ожидаемым результатам</w:t>
            </w:r>
          </w:p>
        </w:tc>
        <w:tc>
          <w:tcPr>
            <w:tcW w:w="4082" w:type="dxa"/>
          </w:tcPr>
          <w:p>
            <w:pPr>
              <w:pStyle w:val="0"/>
            </w:pPr>
            <w:r>
              <w:rPr>
                <w:sz w:val="20"/>
              </w:rPr>
            </w:r>
          </w:p>
        </w:tc>
      </w:tr>
      <w:tr>
        <w:tc>
          <w:tcPr>
            <w:tcW w:w="680" w:type="dxa"/>
          </w:tcPr>
          <w:p>
            <w:pPr>
              <w:pStyle w:val="0"/>
            </w:pPr>
            <w:r>
              <w:rPr>
                <w:sz w:val="20"/>
              </w:rPr>
              <w:t xml:space="preserve">2.10.</w:t>
            </w:r>
          </w:p>
        </w:tc>
        <w:tc>
          <w:tcPr>
            <w:tcW w:w="4307" w:type="dxa"/>
          </w:tcPr>
          <w:p>
            <w:pPr>
              <w:pStyle w:val="0"/>
            </w:pPr>
            <w:r>
              <w:rPr>
                <w:sz w:val="20"/>
              </w:rPr>
              <w:t xml:space="preserve">Информационные ресурсы Добро.Центра (ссылки в социальных сетях и на информационных платформах в сети Интернет)</w:t>
            </w:r>
          </w:p>
        </w:tc>
        <w:tc>
          <w:tcPr>
            <w:tcW w:w="4082" w:type="dxa"/>
          </w:tcPr>
          <w:p>
            <w:pPr>
              <w:pStyle w:val="0"/>
            </w:pPr>
            <w:r>
              <w:rPr>
                <w:sz w:val="20"/>
              </w:rPr>
            </w:r>
          </w:p>
        </w:tc>
      </w:tr>
      <w:tr>
        <w:tc>
          <w:tcPr>
            <w:tcW w:w="680" w:type="dxa"/>
          </w:tcPr>
          <w:p>
            <w:pPr>
              <w:pStyle w:val="0"/>
            </w:pPr>
            <w:r>
              <w:rPr>
                <w:sz w:val="20"/>
              </w:rPr>
              <w:t xml:space="preserve">2.11.</w:t>
            </w:r>
          </w:p>
        </w:tc>
        <w:tc>
          <w:tcPr>
            <w:tcW w:w="4307" w:type="dxa"/>
          </w:tcPr>
          <w:p>
            <w:pPr>
              <w:pStyle w:val="0"/>
            </w:pPr>
            <w:r>
              <w:rPr>
                <w:sz w:val="20"/>
              </w:rPr>
              <w:t xml:space="preserve">Количество жителей, вовлеченных в добровольческую деятельность в рамках реализации данной практики в возрасте от 14 до 35 лет и в возрасте от 35 лет</w:t>
            </w:r>
          </w:p>
        </w:tc>
        <w:tc>
          <w:tcPr>
            <w:tcW w:w="4082" w:type="dxa"/>
          </w:tcPr>
          <w:p>
            <w:pPr>
              <w:pStyle w:val="0"/>
            </w:pPr>
            <w:r>
              <w:rPr>
                <w:sz w:val="20"/>
              </w:rPr>
            </w:r>
          </w:p>
        </w:tc>
      </w:tr>
      <w:tr>
        <w:tc>
          <w:tcPr>
            <w:tcW w:w="680" w:type="dxa"/>
          </w:tcPr>
          <w:p>
            <w:pPr>
              <w:pStyle w:val="0"/>
            </w:pPr>
            <w:r>
              <w:rPr>
                <w:sz w:val="20"/>
              </w:rPr>
              <w:t xml:space="preserve">2.12.</w:t>
            </w:r>
          </w:p>
        </w:tc>
        <w:tc>
          <w:tcPr>
            <w:tcW w:w="4307" w:type="dxa"/>
          </w:tcPr>
          <w:p>
            <w:pPr>
              <w:pStyle w:val="0"/>
            </w:pPr>
            <w:r>
              <w:rPr>
                <w:sz w:val="20"/>
              </w:rPr>
              <w:t xml:space="preserve">Количество волонтеров, включенных в реализацию данной практики</w:t>
            </w:r>
          </w:p>
        </w:tc>
        <w:tc>
          <w:tcPr>
            <w:tcW w:w="4082" w:type="dxa"/>
          </w:tcPr>
          <w:p>
            <w:pPr>
              <w:pStyle w:val="0"/>
            </w:pPr>
            <w:r>
              <w:rPr>
                <w:sz w:val="20"/>
              </w:rPr>
            </w:r>
          </w:p>
        </w:tc>
      </w:tr>
      <w:tr>
        <w:tc>
          <w:tcPr>
            <w:tcW w:w="680" w:type="dxa"/>
          </w:tcPr>
          <w:p>
            <w:pPr>
              <w:pStyle w:val="0"/>
            </w:pPr>
            <w:r>
              <w:rPr>
                <w:sz w:val="20"/>
              </w:rPr>
              <w:t xml:space="preserve">2.13.</w:t>
            </w:r>
          </w:p>
        </w:tc>
        <w:tc>
          <w:tcPr>
            <w:tcW w:w="4307" w:type="dxa"/>
          </w:tcPr>
          <w:p>
            <w:pPr>
              <w:pStyle w:val="0"/>
            </w:pPr>
            <w:r>
              <w:rPr>
                <w:sz w:val="20"/>
              </w:rPr>
              <w:t xml:space="preserve">Перспективы развития Добро.Центра</w:t>
            </w:r>
          </w:p>
        </w:tc>
        <w:tc>
          <w:tcPr>
            <w:tcW w:w="4082" w:type="dxa"/>
          </w:tcPr>
          <w:p>
            <w:pPr>
              <w:pStyle w:val="0"/>
            </w:pPr>
            <w:r>
              <w:rPr>
                <w:sz w:val="20"/>
              </w:rPr>
            </w:r>
          </w:p>
        </w:tc>
      </w:tr>
      <w:tr>
        <w:tc>
          <w:tcPr>
            <w:tcW w:w="680" w:type="dxa"/>
          </w:tcPr>
          <w:p>
            <w:pPr>
              <w:pStyle w:val="0"/>
            </w:pPr>
            <w:r>
              <w:rPr>
                <w:sz w:val="20"/>
              </w:rPr>
              <w:t xml:space="preserve">2.14.</w:t>
            </w:r>
          </w:p>
        </w:tc>
        <w:tc>
          <w:tcPr>
            <w:tcW w:w="4307" w:type="dxa"/>
          </w:tcPr>
          <w:p>
            <w:pPr>
              <w:pStyle w:val="0"/>
            </w:pPr>
            <w:r>
              <w:rPr>
                <w:sz w:val="20"/>
              </w:rPr>
              <w:t xml:space="preserve">Добро.Центр получал/не получал ранее финансовую поддержку в конкурсах (указать каких)</w:t>
            </w:r>
          </w:p>
        </w:tc>
        <w:tc>
          <w:tcPr>
            <w:tcW w:w="4082" w:type="dxa"/>
          </w:tcPr>
          <w:p>
            <w:pPr>
              <w:pStyle w:val="0"/>
            </w:pPr>
            <w:r>
              <w:rPr>
                <w:sz w:val="20"/>
              </w:rPr>
            </w:r>
          </w:p>
        </w:tc>
      </w:tr>
      <w:tr>
        <w:tc>
          <w:tcPr>
            <w:gridSpan w:val="3"/>
            <w:tcW w:w="9069" w:type="dxa"/>
          </w:tcPr>
          <w:p>
            <w:pPr>
              <w:pStyle w:val="0"/>
              <w:outlineLvl w:val="3"/>
              <w:jc w:val="center"/>
            </w:pPr>
            <w:r>
              <w:rPr>
                <w:sz w:val="20"/>
              </w:rPr>
              <w:t xml:space="preserve">3. Информация о запрашиваемом гранте</w:t>
            </w:r>
          </w:p>
        </w:tc>
      </w:tr>
      <w:tr>
        <w:tc>
          <w:tcPr>
            <w:tcW w:w="680" w:type="dxa"/>
          </w:tcPr>
          <w:p>
            <w:pPr>
              <w:pStyle w:val="0"/>
            </w:pPr>
            <w:r>
              <w:rPr>
                <w:sz w:val="20"/>
              </w:rPr>
              <w:t xml:space="preserve">3.1.</w:t>
            </w:r>
          </w:p>
        </w:tc>
        <w:tc>
          <w:tcPr>
            <w:tcW w:w="4307" w:type="dxa"/>
          </w:tcPr>
          <w:p>
            <w:pPr>
              <w:pStyle w:val="0"/>
            </w:pPr>
            <w:r>
              <w:rPr>
                <w:sz w:val="20"/>
              </w:rPr>
              <w:t xml:space="preserve">Планируемые расходы за счет гранта &lt;*&gt; (общая сумма, рублей), включая:</w:t>
            </w:r>
          </w:p>
        </w:tc>
        <w:tc>
          <w:tcPr>
            <w:tcW w:w="4082" w:type="dxa"/>
          </w:tcPr>
          <w:p>
            <w:pPr>
              <w:pStyle w:val="0"/>
            </w:pPr>
            <w:r>
              <w:rPr>
                <w:sz w:val="20"/>
              </w:rPr>
            </w:r>
          </w:p>
        </w:tc>
      </w:tr>
      <w:tr>
        <w:tc>
          <w:tcPr>
            <w:tcW w:w="680" w:type="dxa"/>
          </w:tcPr>
          <w:p>
            <w:pPr>
              <w:pStyle w:val="0"/>
            </w:pPr>
            <w:r>
              <w:rPr>
                <w:sz w:val="20"/>
              </w:rPr>
              <w:t xml:space="preserve">3.1.1.</w:t>
            </w:r>
          </w:p>
        </w:tc>
        <w:tc>
          <w:tcPr>
            <w:tcW w:w="4307" w:type="dxa"/>
          </w:tcPr>
          <w:p>
            <w:pPr>
              <w:pStyle w:val="0"/>
            </w:pPr>
            <w:r>
              <w:rPr>
                <w:sz w:val="20"/>
              </w:rPr>
              <w:t xml:space="preserve">Расходы на материально-техническое обеспечение и оснащение Добро.Центра, рублей</w:t>
            </w:r>
          </w:p>
        </w:tc>
        <w:tc>
          <w:tcPr>
            <w:tcW w:w="4082" w:type="dxa"/>
          </w:tcPr>
          <w:p>
            <w:pPr>
              <w:pStyle w:val="0"/>
            </w:pPr>
            <w:r>
              <w:rPr>
                <w:sz w:val="20"/>
              </w:rPr>
            </w:r>
          </w:p>
        </w:tc>
      </w:tr>
      <w:tr>
        <w:tc>
          <w:tcPr>
            <w:tcW w:w="680" w:type="dxa"/>
          </w:tcPr>
          <w:p>
            <w:pPr>
              <w:pStyle w:val="0"/>
            </w:pPr>
            <w:r>
              <w:rPr>
                <w:sz w:val="20"/>
              </w:rPr>
              <w:t xml:space="preserve">3.1.2.</w:t>
            </w:r>
          </w:p>
        </w:tc>
        <w:tc>
          <w:tcPr>
            <w:tcW w:w="4307" w:type="dxa"/>
          </w:tcPr>
          <w:p>
            <w:pPr>
              <w:pStyle w:val="0"/>
            </w:pPr>
            <w:r>
              <w:rPr>
                <w:sz w:val="20"/>
              </w:rPr>
              <w:t xml:space="preserve">Расходы на проведение мероприятий Добро.Центра, рублей</w:t>
            </w:r>
          </w:p>
        </w:tc>
        <w:tc>
          <w:tcPr>
            <w:tcW w:w="4082" w:type="dxa"/>
          </w:tcPr>
          <w:p>
            <w:pPr>
              <w:pStyle w:val="0"/>
            </w:pPr>
            <w:r>
              <w:rPr>
                <w:sz w:val="20"/>
              </w:rPr>
            </w:r>
          </w:p>
        </w:tc>
      </w:tr>
      <w:tr>
        <w:tc>
          <w:tcPr>
            <w:tcW w:w="680" w:type="dxa"/>
          </w:tcPr>
          <w:p>
            <w:pPr>
              <w:pStyle w:val="0"/>
            </w:pPr>
            <w:r>
              <w:rPr>
                <w:sz w:val="20"/>
              </w:rPr>
              <w:t xml:space="preserve">3.2.</w:t>
            </w:r>
          </w:p>
        </w:tc>
        <w:tc>
          <w:tcPr>
            <w:tcW w:w="4307" w:type="dxa"/>
          </w:tcPr>
          <w:p>
            <w:pPr>
              <w:pStyle w:val="0"/>
            </w:pPr>
            <w:r>
              <w:rPr>
                <w:sz w:val="20"/>
              </w:rPr>
              <w:t xml:space="preserve">Планируемые сроки использования гранта</w:t>
            </w:r>
          </w:p>
        </w:tc>
        <w:tc>
          <w:tcPr>
            <w:tcW w:w="4082" w:type="dxa"/>
          </w:tcPr>
          <w:p>
            <w:pPr>
              <w:pStyle w:val="0"/>
              <w:jc w:val="center"/>
            </w:pPr>
            <w:r>
              <w:rPr>
                <w:sz w:val="20"/>
              </w:rPr>
              <w:t xml:space="preserve">до "___"__________ ____ года</w:t>
            </w:r>
          </w:p>
        </w:tc>
      </w:tr>
    </w:tbl>
    <w:p>
      <w:pPr>
        <w:pStyle w:val="0"/>
        <w:jc w:val="both"/>
      </w:pPr>
      <w:r>
        <w:rPr>
          <w:sz w:val="20"/>
        </w:rPr>
      </w:r>
    </w:p>
    <w:tbl>
      <w:tblPr>
        <w:tblInd w:w="0" w:type="dxa"/>
        <w:tblLayout w:type="fixed"/>
        <w:tblCellMar>
          <w:top w:w="102" w:type="dxa"/>
          <w:left w:w="62" w:type="dxa"/>
          <w:bottom w:w="102" w:type="dxa"/>
          <w:right w:w="62" w:type="dxa"/>
        </w:tblCellMar>
      </w:tblPr>
      <w:tblGrid>
        <w:gridCol w:w="9071"/>
      </w:tblGrid>
      <w:tr>
        <w:tc>
          <w:tcPr>
            <w:tcW w:w="9071" w:type="dxa"/>
            <w:tcBorders>
              <w:top w:val="nil"/>
              <w:left w:val="nil"/>
              <w:bottom w:val="nil"/>
              <w:right w:val="nil"/>
            </w:tcBorders>
          </w:tcPr>
          <w:p>
            <w:pPr>
              <w:pStyle w:val="0"/>
              <w:ind w:firstLine="283"/>
              <w:jc w:val="both"/>
            </w:pPr>
            <w:r>
              <w:rPr>
                <w:sz w:val="20"/>
              </w:rPr>
              <w:t xml:space="preserve">--------------------------------</w:t>
            </w:r>
          </w:p>
          <w:p>
            <w:pPr>
              <w:pStyle w:val="0"/>
              <w:ind w:firstLine="283"/>
              <w:jc w:val="both"/>
            </w:pPr>
            <w:r>
              <w:rPr>
                <w:sz w:val="20"/>
              </w:rPr>
              <w:t xml:space="preserve">&lt;*&gt; Сумма запрашиваемых средств не должна превышать 600 тыс. рублей суммарно с учетом расходов на материально-техническое обеспечение и оснащение Добро.Центра и проведение мероприятий.</w:t>
            </w:r>
          </w:p>
          <w:p>
            <w:pPr>
              <w:pStyle w:val="0"/>
            </w:pPr>
            <w:r>
              <w:rPr>
                <w:sz w:val="20"/>
              </w:rPr>
            </w:r>
          </w:p>
          <w:p>
            <w:pPr>
              <w:pStyle w:val="0"/>
              <w:outlineLvl w:val="2"/>
              <w:jc w:val="center"/>
            </w:pPr>
            <w:r>
              <w:rPr>
                <w:sz w:val="20"/>
              </w:rPr>
              <w:t xml:space="preserve">1. Перечень мероприятий, запланированных к реализации</w:t>
            </w:r>
          </w:p>
          <w:p>
            <w:pPr>
              <w:pStyle w:val="0"/>
              <w:jc w:val="center"/>
            </w:pPr>
            <w:r>
              <w:rPr>
                <w:sz w:val="20"/>
              </w:rPr>
              <w:t xml:space="preserve">Добро.Центром в период использования гранта</w:t>
            </w:r>
          </w:p>
          <w:p>
            <w:pPr>
              <w:pStyle w:val="0"/>
            </w:pPr>
            <w:r>
              <w:rPr>
                <w:sz w:val="20"/>
              </w:rPr>
            </w:r>
          </w:p>
          <w:p>
            <w:pPr>
              <w:pStyle w:val="0"/>
              <w:ind w:firstLine="283"/>
              <w:jc w:val="both"/>
            </w:pPr>
            <w:r>
              <w:rPr>
                <w:sz w:val="20"/>
              </w:rPr>
              <w:t xml:space="preserve">1.1. Мероприятия, связанные с материально-техническим обеспечением и оснащением Добро.Центров.</w:t>
            </w:r>
          </w:p>
          <w:p>
            <w:pPr>
              <w:pStyle w:val="0"/>
              <w:ind w:firstLine="283"/>
              <w:jc w:val="both"/>
            </w:pPr>
            <w:r>
              <w:rPr>
                <w:sz w:val="20"/>
              </w:rPr>
              <w:t xml:space="preserve">1.2. Мероприятия по направлениям работы Добро.Центров, расходы на организацию которых запланированы перечнем затрат:</w:t>
            </w:r>
          </w:p>
        </w:tc>
      </w:tr>
    </w:tbl>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67"/>
        <w:gridCol w:w="5669"/>
        <w:gridCol w:w="1361"/>
        <w:gridCol w:w="1474"/>
      </w:tblGrid>
      <w:tr>
        <w:tc>
          <w:tcPr>
            <w:tcW w:w="567" w:type="dxa"/>
          </w:tcPr>
          <w:p>
            <w:pPr>
              <w:pStyle w:val="0"/>
              <w:jc w:val="center"/>
            </w:pPr>
            <w:r>
              <w:rPr>
                <w:sz w:val="20"/>
              </w:rPr>
              <w:t xml:space="preserve">N</w:t>
            </w:r>
          </w:p>
          <w:p>
            <w:pPr>
              <w:pStyle w:val="0"/>
              <w:jc w:val="center"/>
            </w:pPr>
            <w:r>
              <w:rPr>
                <w:sz w:val="20"/>
              </w:rPr>
              <w:t xml:space="preserve">п/п</w:t>
            </w:r>
          </w:p>
        </w:tc>
        <w:tc>
          <w:tcPr>
            <w:tcW w:w="5669" w:type="dxa"/>
          </w:tcPr>
          <w:p>
            <w:pPr>
              <w:pStyle w:val="0"/>
              <w:jc w:val="center"/>
            </w:pPr>
            <w:r>
              <w:rPr>
                <w:sz w:val="20"/>
              </w:rPr>
              <w:t xml:space="preserve">Мероприятие/содержание деятельности</w:t>
            </w:r>
          </w:p>
        </w:tc>
        <w:tc>
          <w:tcPr>
            <w:tcW w:w="1361" w:type="dxa"/>
          </w:tcPr>
          <w:p>
            <w:pPr>
              <w:pStyle w:val="0"/>
            </w:pPr>
            <w:r>
              <w:rPr>
                <w:sz w:val="20"/>
              </w:rPr>
              <w:t xml:space="preserve">Сроки реализации (дд.мм.гг)</w:t>
            </w:r>
          </w:p>
        </w:tc>
        <w:tc>
          <w:tcPr>
            <w:tcW w:w="1474" w:type="dxa"/>
          </w:tcPr>
          <w:p>
            <w:pPr>
              <w:pStyle w:val="0"/>
            </w:pPr>
            <w:r>
              <w:rPr>
                <w:sz w:val="20"/>
              </w:rPr>
              <w:t xml:space="preserve">Ожидаемый результат, социальный эффект</w:t>
            </w:r>
          </w:p>
        </w:tc>
      </w:tr>
      <w:tr>
        <w:tc>
          <w:tcPr>
            <w:tcW w:w="567" w:type="dxa"/>
          </w:tcPr>
          <w:p>
            <w:pPr>
              <w:pStyle w:val="0"/>
            </w:pPr>
            <w:r>
              <w:rPr>
                <w:sz w:val="20"/>
              </w:rPr>
              <w:t xml:space="preserve">1.</w:t>
            </w:r>
          </w:p>
        </w:tc>
        <w:tc>
          <w:tcPr>
            <w:tcW w:w="5669" w:type="dxa"/>
          </w:tcPr>
          <w:p>
            <w:pPr>
              <w:pStyle w:val="0"/>
            </w:pPr>
            <w:r>
              <w:rPr>
                <w:sz w:val="20"/>
              </w:rPr>
              <w:t xml:space="preserve">Мероприятия, связанные с материально-техническим обеспечением и оснащением Добро.Центров</w:t>
            </w:r>
          </w:p>
        </w:tc>
        <w:tc>
          <w:tcPr>
            <w:tcW w:w="1361" w:type="dxa"/>
          </w:tcPr>
          <w:p>
            <w:pPr>
              <w:pStyle w:val="0"/>
            </w:pPr>
            <w:r>
              <w:rPr>
                <w:sz w:val="20"/>
              </w:rPr>
            </w:r>
          </w:p>
        </w:tc>
        <w:tc>
          <w:tcPr>
            <w:tcW w:w="1474" w:type="dxa"/>
          </w:tcPr>
          <w:p>
            <w:pPr>
              <w:pStyle w:val="0"/>
            </w:pPr>
            <w:r>
              <w:rPr>
                <w:sz w:val="20"/>
              </w:rPr>
            </w:r>
          </w:p>
        </w:tc>
      </w:tr>
      <w:tr>
        <w:tc>
          <w:tcPr>
            <w:tcW w:w="567" w:type="dxa"/>
          </w:tcPr>
          <w:p>
            <w:pPr>
              <w:pStyle w:val="0"/>
            </w:pPr>
            <w:r>
              <w:rPr>
                <w:sz w:val="20"/>
              </w:rPr>
              <w:t xml:space="preserve">1.1.</w:t>
            </w:r>
          </w:p>
        </w:tc>
        <w:tc>
          <w:tcPr>
            <w:tcW w:w="5669" w:type="dxa"/>
          </w:tcPr>
          <w:p>
            <w:pPr>
              <w:pStyle w:val="0"/>
            </w:pPr>
            <w:r>
              <w:rPr>
                <w:sz w:val="20"/>
              </w:rPr>
            </w:r>
          </w:p>
        </w:tc>
        <w:tc>
          <w:tcPr>
            <w:tcW w:w="1361" w:type="dxa"/>
          </w:tcPr>
          <w:p>
            <w:pPr>
              <w:pStyle w:val="0"/>
            </w:pPr>
            <w:r>
              <w:rPr>
                <w:sz w:val="20"/>
              </w:rPr>
            </w:r>
          </w:p>
        </w:tc>
        <w:tc>
          <w:tcPr>
            <w:tcW w:w="1474" w:type="dxa"/>
          </w:tcPr>
          <w:p>
            <w:pPr>
              <w:pStyle w:val="0"/>
            </w:pPr>
            <w:r>
              <w:rPr>
                <w:sz w:val="20"/>
              </w:rPr>
            </w:r>
          </w:p>
        </w:tc>
      </w:tr>
      <w:tr>
        <w:tc>
          <w:tcPr>
            <w:tcW w:w="567" w:type="dxa"/>
          </w:tcPr>
          <w:p>
            <w:pPr>
              <w:pStyle w:val="0"/>
            </w:pPr>
            <w:r>
              <w:rPr>
                <w:sz w:val="20"/>
              </w:rPr>
              <w:t xml:space="preserve">1.2.</w:t>
            </w:r>
          </w:p>
        </w:tc>
        <w:tc>
          <w:tcPr>
            <w:tcW w:w="5669" w:type="dxa"/>
          </w:tcPr>
          <w:p>
            <w:pPr>
              <w:pStyle w:val="0"/>
            </w:pPr>
            <w:r>
              <w:rPr>
                <w:sz w:val="20"/>
              </w:rPr>
            </w:r>
          </w:p>
        </w:tc>
        <w:tc>
          <w:tcPr>
            <w:tcW w:w="1361" w:type="dxa"/>
          </w:tcPr>
          <w:p>
            <w:pPr>
              <w:pStyle w:val="0"/>
            </w:pPr>
            <w:r>
              <w:rPr>
                <w:sz w:val="20"/>
              </w:rPr>
            </w:r>
          </w:p>
        </w:tc>
        <w:tc>
          <w:tcPr>
            <w:tcW w:w="1474" w:type="dxa"/>
          </w:tcPr>
          <w:p>
            <w:pPr>
              <w:pStyle w:val="0"/>
            </w:pPr>
            <w:r>
              <w:rPr>
                <w:sz w:val="20"/>
              </w:rPr>
            </w:r>
          </w:p>
        </w:tc>
      </w:tr>
      <w:tr>
        <w:tc>
          <w:tcPr>
            <w:tcW w:w="567" w:type="dxa"/>
          </w:tcPr>
          <w:p>
            <w:pPr>
              <w:pStyle w:val="0"/>
            </w:pPr>
            <w:r>
              <w:rPr>
                <w:sz w:val="20"/>
              </w:rPr>
            </w:r>
          </w:p>
        </w:tc>
        <w:tc>
          <w:tcPr>
            <w:tcW w:w="5669" w:type="dxa"/>
          </w:tcPr>
          <w:p>
            <w:pPr>
              <w:pStyle w:val="0"/>
            </w:pPr>
            <w:r>
              <w:rPr>
                <w:sz w:val="20"/>
              </w:rPr>
              <w:t xml:space="preserve">...</w:t>
            </w:r>
          </w:p>
        </w:tc>
        <w:tc>
          <w:tcPr>
            <w:tcW w:w="1361" w:type="dxa"/>
          </w:tcPr>
          <w:p>
            <w:pPr>
              <w:pStyle w:val="0"/>
            </w:pPr>
            <w:r>
              <w:rPr>
                <w:sz w:val="20"/>
              </w:rPr>
            </w:r>
          </w:p>
        </w:tc>
        <w:tc>
          <w:tcPr>
            <w:tcW w:w="1474" w:type="dxa"/>
          </w:tcPr>
          <w:p>
            <w:pPr>
              <w:pStyle w:val="0"/>
            </w:pPr>
            <w:r>
              <w:rPr>
                <w:sz w:val="20"/>
              </w:rPr>
            </w:r>
          </w:p>
        </w:tc>
      </w:tr>
      <w:tr>
        <w:tc>
          <w:tcPr>
            <w:tcW w:w="567" w:type="dxa"/>
          </w:tcPr>
          <w:p>
            <w:pPr>
              <w:pStyle w:val="0"/>
            </w:pPr>
            <w:r>
              <w:rPr>
                <w:sz w:val="20"/>
              </w:rPr>
              <w:t xml:space="preserve">2.</w:t>
            </w:r>
          </w:p>
        </w:tc>
        <w:tc>
          <w:tcPr>
            <w:tcW w:w="5669" w:type="dxa"/>
          </w:tcPr>
          <w:p>
            <w:pPr>
              <w:pStyle w:val="0"/>
            </w:pPr>
            <w:r>
              <w:rPr>
                <w:sz w:val="20"/>
              </w:rPr>
              <w:t xml:space="preserve">Мероприятия по направлениям работы Добро.Центров, расходы на организацию которых запланированы перечнем затрат</w:t>
            </w:r>
          </w:p>
        </w:tc>
        <w:tc>
          <w:tcPr>
            <w:tcW w:w="1361" w:type="dxa"/>
          </w:tcPr>
          <w:p>
            <w:pPr>
              <w:pStyle w:val="0"/>
            </w:pPr>
            <w:r>
              <w:rPr>
                <w:sz w:val="20"/>
              </w:rPr>
            </w:r>
          </w:p>
        </w:tc>
        <w:tc>
          <w:tcPr>
            <w:tcW w:w="1474" w:type="dxa"/>
          </w:tcPr>
          <w:p>
            <w:pPr>
              <w:pStyle w:val="0"/>
            </w:pPr>
            <w:r>
              <w:rPr>
                <w:sz w:val="20"/>
              </w:rPr>
            </w:r>
          </w:p>
        </w:tc>
      </w:tr>
      <w:tr>
        <w:tc>
          <w:tcPr>
            <w:tcW w:w="567" w:type="dxa"/>
          </w:tcPr>
          <w:p>
            <w:pPr>
              <w:pStyle w:val="0"/>
            </w:pPr>
            <w:r>
              <w:rPr>
                <w:sz w:val="20"/>
              </w:rPr>
              <w:t xml:space="preserve">2.1.</w:t>
            </w:r>
          </w:p>
        </w:tc>
        <w:tc>
          <w:tcPr>
            <w:tcW w:w="5669" w:type="dxa"/>
          </w:tcPr>
          <w:p>
            <w:pPr>
              <w:pStyle w:val="0"/>
            </w:pPr>
            <w:r>
              <w:rPr>
                <w:sz w:val="20"/>
              </w:rPr>
            </w:r>
          </w:p>
        </w:tc>
        <w:tc>
          <w:tcPr>
            <w:tcW w:w="1361" w:type="dxa"/>
          </w:tcPr>
          <w:p>
            <w:pPr>
              <w:pStyle w:val="0"/>
            </w:pPr>
            <w:r>
              <w:rPr>
                <w:sz w:val="20"/>
              </w:rPr>
            </w:r>
          </w:p>
        </w:tc>
        <w:tc>
          <w:tcPr>
            <w:tcW w:w="1474" w:type="dxa"/>
          </w:tcPr>
          <w:p>
            <w:pPr>
              <w:pStyle w:val="0"/>
            </w:pPr>
            <w:r>
              <w:rPr>
                <w:sz w:val="20"/>
              </w:rPr>
            </w:r>
          </w:p>
        </w:tc>
      </w:tr>
      <w:tr>
        <w:tc>
          <w:tcPr>
            <w:tcW w:w="567" w:type="dxa"/>
          </w:tcPr>
          <w:p>
            <w:pPr>
              <w:pStyle w:val="0"/>
            </w:pPr>
            <w:r>
              <w:rPr>
                <w:sz w:val="20"/>
              </w:rPr>
              <w:t xml:space="preserve">2.2.</w:t>
            </w:r>
          </w:p>
        </w:tc>
        <w:tc>
          <w:tcPr>
            <w:tcW w:w="5669" w:type="dxa"/>
          </w:tcPr>
          <w:p>
            <w:pPr>
              <w:pStyle w:val="0"/>
            </w:pPr>
            <w:r>
              <w:rPr>
                <w:sz w:val="20"/>
              </w:rPr>
            </w:r>
          </w:p>
        </w:tc>
        <w:tc>
          <w:tcPr>
            <w:tcW w:w="1361" w:type="dxa"/>
          </w:tcPr>
          <w:p>
            <w:pPr>
              <w:pStyle w:val="0"/>
            </w:pPr>
            <w:r>
              <w:rPr>
                <w:sz w:val="20"/>
              </w:rPr>
            </w:r>
          </w:p>
        </w:tc>
        <w:tc>
          <w:tcPr>
            <w:tcW w:w="1474" w:type="dxa"/>
          </w:tcPr>
          <w:p>
            <w:pPr>
              <w:pStyle w:val="0"/>
            </w:pPr>
            <w:r>
              <w:rPr>
                <w:sz w:val="20"/>
              </w:rPr>
            </w:r>
          </w:p>
        </w:tc>
      </w:tr>
      <w:tr>
        <w:tc>
          <w:tcPr>
            <w:tcW w:w="567" w:type="dxa"/>
          </w:tcPr>
          <w:p>
            <w:pPr>
              <w:pStyle w:val="0"/>
            </w:pPr>
            <w:r>
              <w:rPr>
                <w:sz w:val="20"/>
              </w:rPr>
            </w:r>
          </w:p>
        </w:tc>
        <w:tc>
          <w:tcPr>
            <w:tcW w:w="5669" w:type="dxa"/>
          </w:tcPr>
          <w:p>
            <w:pPr>
              <w:pStyle w:val="0"/>
            </w:pPr>
            <w:r>
              <w:rPr>
                <w:sz w:val="20"/>
              </w:rPr>
              <w:t xml:space="preserve">...</w:t>
            </w:r>
          </w:p>
        </w:tc>
        <w:tc>
          <w:tcPr>
            <w:tcW w:w="1361" w:type="dxa"/>
          </w:tcPr>
          <w:p>
            <w:pPr>
              <w:pStyle w:val="0"/>
            </w:pPr>
            <w:r>
              <w:rPr>
                <w:sz w:val="20"/>
              </w:rPr>
            </w:r>
          </w:p>
        </w:tc>
        <w:tc>
          <w:tcPr>
            <w:tcW w:w="1474" w:type="dxa"/>
          </w:tcPr>
          <w:p>
            <w:pPr>
              <w:pStyle w:val="0"/>
            </w:pPr>
            <w:r>
              <w:rPr>
                <w:sz w:val="20"/>
              </w:rPr>
            </w:r>
          </w:p>
        </w:tc>
      </w:tr>
    </w:tbl>
    <w:p>
      <w:pPr>
        <w:pStyle w:val="0"/>
        <w:jc w:val="both"/>
      </w:pPr>
      <w:r>
        <w:rPr>
          <w:sz w:val="20"/>
        </w:rPr>
      </w:r>
    </w:p>
    <w:tbl>
      <w:tblPr>
        <w:tblInd w:w="0" w:type="dxa"/>
        <w:tblLayout w:type="fixed"/>
        <w:tblCellMar>
          <w:top w:w="102" w:type="dxa"/>
          <w:left w:w="62" w:type="dxa"/>
          <w:bottom w:w="102" w:type="dxa"/>
          <w:right w:w="62" w:type="dxa"/>
        </w:tblCellMar>
      </w:tblPr>
      <w:tblGrid>
        <w:gridCol w:w="9071"/>
      </w:tblGrid>
      <w:tr>
        <w:tc>
          <w:tcPr>
            <w:tcW w:w="9071" w:type="dxa"/>
            <w:tcBorders>
              <w:top w:val="nil"/>
              <w:left w:val="nil"/>
              <w:bottom w:val="nil"/>
              <w:right w:val="nil"/>
            </w:tcBorders>
          </w:tcPr>
          <w:p>
            <w:pPr>
              <w:pStyle w:val="0"/>
              <w:outlineLvl w:val="2"/>
              <w:jc w:val="center"/>
            </w:pPr>
            <w:r>
              <w:rPr>
                <w:sz w:val="20"/>
              </w:rPr>
              <w:t xml:space="preserve">2. Перечень затрат</w:t>
            </w:r>
          </w:p>
          <w:p>
            <w:pPr>
              <w:pStyle w:val="0"/>
            </w:pPr>
            <w:r>
              <w:rPr>
                <w:sz w:val="20"/>
              </w:rPr>
            </w:r>
          </w:p>
          <w:p>
            <w:pPr>
              <w:pStyle w:val="0"/>
              <w:ind w:firstLine="283"/>
              <w:jc w:val="both"/>
            </w:pPr>
            <w:r>
              <w:rPr>
                <w:sz w:val="20"/>
              </w:rPr>
              <w:t xml:space="preserve">Подробно указать все расходы Добро.Центра, на которые запрашивается грант из областного бюджета; выделяя статьи расходов, на которые требуется финансовая поддержка; с указанием подробного расчета по всем статьям расходов).</w:t>
            </w:r>
          </w:p>
          <w:p>
            <w:pPr>
              <w:pStyle w:val="0"/>
              <w:ind w:firstLine="283"/>
              <w:jc w:val="both"/>
            </w:pPr>
            <w:r>
              <w:rPr>
                <w:sz w:val="20"/>
              </w:rPr>
              <w:t xml:space="preserve">Максимальная сумма финансовой поддержки - не более 600 тыс. рублей.</w:t>
            </w:r>
          </w:p>
        </w:tc>
      </w:tr>
    </w:tbl>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67"/>
        <w:gridCol w:w="4592"/>
        <w:gridCol w:w="1417"/>
        <w:gridCol w:w="1531"/>
        <w:gridCol w:w="964"/>
      </w:tblGrid>
      <w:tr>
        <w:tc>
          <w:tcPr>
            <w:tcW w:w="567" w:type="dxa"/>
          </w:tcPr>
          <w:p>
            <w:pPr>
              <w:pStyle w:val="0"/>
              <w:jc w:val="center"/>
            </w:pPr>
            <w:r>
              <w:rPr>
                <w:sz w:val="20"/>
              </w:rPr>
              <w:t xml:space="preserve">N</w:t>
            </w:r>
          </w:p>
          <w:p>
            <w:pPr>
              <w:pStyle w:val="0"/>
              <w:jc w:val="center"/>
            </w:pPr>
            <w:r>
              <w:rPr>
                <w:sz w:val="20"/>
              </w:rPr>
              <w:t xml:space="preserve">п/п</w:t>
            </w:r>
          </w:p>
        </w:tc>
        <w:tc>
          <w:tcPr>
            <w:tcW w:w="4592" w:type="dxa"/>
          </w:tcPr>
          <w:p>
            <w:pPr>
              <w:pStyle w:val="0"/>
              <w:jc w:val="center"/>
            </w:pPr>
            <w:r>
              <w:rPr>
                <w:sz w:val="20"/>
              </w:rPr>
              <w:t xml:space="preserve">Статья расходов</w:t>
            </w:r>
          </w:p>
        </w:tc>
        <w:tc>
          <w:tcPr>
            <w:tcW w:w="1417" w:type="dxa"/>
          </w:tcPr>
          <w:p>
            <w:pPr>
              <w:pStyle w:val="0"/>
              <w:jc w:val="center"/>
            </w:pPr>
            <w:r>
              <w:rPr>
                <w:sz w:val="20"/>
              </w:rPr>
              <w:t xml:space="preserve">Кол-во, шт.</w:t>
            </w:r>
          </w:p>
        </w:tc>
        <w:tc>
          <w:tcPr>
            <w:tcW w:w="1531" w:type="dxa"/>
          </w:tcPr>
          <w:p>
            <w:pPr>
              <w:pStyle w:val="0"/>
            </w:pPr>
            <w:r>
              <w:rPr>
                <w:sz w:val="20"/>
              </w:rPr>
              <w:t xml:space="preserve">Обоснование расчета</w:t>
            </w:r>
          </w:p>
        </w:tc>
        <w:tc>
          <w:tcPr>
            <w:tcW w:w="964" w:type="dxa"/>
          </w:tcPr>
          <w:p>
            <w:pPr>
              <w:pStyle w:val="0"/>
            </w:pPr>
            <w:r>
              <w:rPr>
                <w:sz w:val="20"/>
              </w:rPr>
              <w:t xml:space="preserve">Сумма, рублей</w:t>
            </w:r>
          </w:p>
        </w:tc>
      </w:tr>
      <w:tr>
        <w:tc>
          <w:tcPr>
            <w:tcW w:w="567" w:type="dxa"/>
          </w:tcPr>
          <w:bookmarkStart w:id="561" w:name="P561"/>
          <w:bookmarkEnd w:id="561"/>
          <w:p>
            <w:pPr>
              <w:pStyle w:val="0"/>
            </w:pPr>
            <w:r>
              <w:rPr>
                <w:sz w:val="20"/>
              </w:rPr>
              <w:t xml:space="preserve">1.</w:t>
            </w:r>
          </w:p>
        </w:tc>
        <w:tc>
          <w:tcPr>
            <w:tcW w:w="4592" w:type="dxa"/>
          </w:tcPr>
          <w:p>
            <w:pPr>
              <w:pStyle w:val="0"/>
            </w:pPr>
            <w:r>
              <w:rPr>
                <w:sz w:val="20"/>
              </w:rPr>
              <w:t xml:space="preserve">Расходы на материально-техническое обеспечение и оснащение, включая &lt;*&gt;:</w:t>
            </w:r>
          </w:p>
        </w:tc>
        <w:tc>
          <w:tcPr>
            <w:tcW w:w="1417" w:type="dxa"/>
          </w:tcPr>
          <w:p>
            <w:pPr>
              <w:pStyle w:val="0"/>
              <w:jc w:val="center"/>
            </w:pPr>
            <w:r>
              <w:rPr>
                <w:sz w:val="20"/>
              </w:rPr>
              <w:t xml:space="preserve">x</w:t>
            </w:r>
          </w:p>
        </w:tc>
        <w:tc>
          <w:tcPr>
            <w:tcW w:w="1531" w:type="dxa"/>
          </w:tcPr>
          <w:p>
            <w:pPr>
              <w:pStyle w:val="0"/>
              <w:jc w:val="center"/>
            </w:pPr>
            <w:r>
              <w:rPr>
                <w:sz w:val="20"/>
              </w:rPr>
              <w:t xml:space="preserve">x</w:t>
            </w:r>
          </w:p>
        </w:tc>
        <w:tc>
          <w:tcPr>
            <w:tcW w:w="964" w:type="dxa"/>
          </w:tcPr>
          <w:p>
            <w:pPr>
              <w:pStyle w:val="0"/>
            </w:pPr>
            <w:r>
              <w:rPr>
                <w:sz w:val="20"/>
              </w:rPr>
            </w:r>
          </w:p>
        </w:tc>
      </w:tr>
      <w:tr>
        <w:tc>
          <w:tcPr>
            <w:tcW w:w="567" w:type="dxa"/>
          </w:tcPr>
          <w:p>
            <w:pPr>
              <w:pStyle w:val="0"/>
            </w:pPr>
            <w:r>
              <w:rPr>
                <w:sz w:val="20"/>
              </w:rPr>
              <w:t xml:space="preserve">1.1.</w:t>
            </w:r>
          </w:p>
        </w:tc>
        <w:tc>
          <w:tcPr>
            <w:tcW w:w="4592" w:type="dxa"/>
          </w:tcPr>
          <w:p>
            <w:pPr>
              <w:pStyle w:val="0"/>
            </w:pPr>
            <w:r>
              <w:rPr>
                <w:sz w:val="20"/>
              </w:rPr>
            </w:r>
          </w:p>
        </w:tc>
        <w:tc>
          <w:tcPr>
            <w:tcW w:w="1417" w:type="dxa"/>
          </w:tcPr>
          <w:p>
            <w:pPr>
              <w:pStyle w:val="0"/>
            </w:pPr>
            <w:r>
              <w:rPr>
                <w:sz w:val="20"/>
              </w:rPr>
            </w:r>
          </w:p>
        </w:tc>
        <w:tc>
          <w:tcPr>
            <w:tcW w:w="1531" w:type="dxa"/>
          </w:tcPr>
          <w:p>
            <w:pPr>
              <w:pStyle w:val="0"/>
            </w:pPr>
            <w:r>
              <w:rPr>
                <w:sz w:val="20"/>
              </w:rPr>
            </w:r>
          </w:p>
        </w:tc>
        <w:tc>
          <w:tcPr>
            <w:tcW w:w="964" w:type="dxa"/>
          </w:tcPr>
          <w:p>
            <w:pPr>
              <w:pStyle w:val="0"/>
            </w:pPr>
            <w:r>
              <w:rPr>
                <w:sz w:val="20"/>
              </w:rPr>
            </w:r>
          </w:p>
        </w:tc>
      </w:tr>
      <w:tr>
        <w:tc>
          <w:tcPr>
            <w:tcW w:w="567" w:type="dxa"/>
          </w:tcPr>
          <w:p>
            <w:pPr>
              <w:pStyle w:val="0"/>
            </w:pPr>
            <w:r>
              <w:rPr>
                <w:sz w:val="20"/>
              </w:rPr>
              <w:t xml:space="preserve">1.2.</w:t>
            </w:r>
          </w:p>
        </w:tc>
        <w:tc>
          <w:tcPr>
            <w:tcW w:w="4592" w:type="dxa"/>
          </w:tcPr>
          <w:p>
            <w:pPr>
              <w:pStyle w:val="0"/>
            </w:pPr>
            <w:r>
              <w:rPr>
                <w:sz w:val="20"/>
              </w:rPr>
            </w:r>
          </w:p>
        </w:tc>
        <w:tc>
          <w:tcPr>
            <w:tcW w:w="1417" w:type="dxa"/>
          </w:tcPr>
          <w:p>
            <w:pPr>
              <w:pStyle w:val="0"/>
            </w:pPr>
            <w:r>
              <w:rPr>
                <w:sz w:val="20"/>
              </w:rPr>
            </w:r>
          </w:p>
        </w:tc>
        <w:tc>
          <w:tcPr>
            <w:tcW w:w="1531" w:type="dxa"/>
          </w:tcPr>
          <w:p>
            <w:pPr>
              <w:pStyle w:val="0"/>
            </w:pPr>
            <w:r>
              <w:rPr>
                <w:sz w:val="20"/>
              </w:rPr>
            </w:r>
          </w:p>
        </w:tc>
        <w:tc>
          <w:tcPr>
            <w:tcW w:w="964" w:type="dxa"/>
          </w:tcPr>
          <w:p>
            <w:pPr>
              <w:pStyle w:val="0"/>
            </w:pPr>
            <w:r>
              <w:rPr>
                <w:sz w:val="20"/>
              </w:rPr>
            </w:r>
          </w:p>
        </w:tc>
      </w:tr>
      <w:tr>
        <w:tc>
          <w:tcPr>
            <w:tcW w:w="567" w:type="dxa"/>
          </w:tcPr>
          <w:p>
            <w:pPr>
              <w:pStyle w:val="0"/>
            </w:pPr>
            <w:r>
              <w:rPr>
                <w:sz w:val="20"/>
              </w:rPr>
            </w:r>
          </w:p>
        </w:tc>
        <w:tc>
          <w:tcPr>
            <w:tcW w:w="4592" w:type="dxa"/>
          </w:tcPr>
          <w:p>
            <w:pPr>
              <w:pStyle w:val="0"/>
            </w:pPr>
            <w:r>
              <w:rPr>
                <w:sz w:val="20"/>
              </w:rPr>
              <w:t xml:space="preserve">...</w:t>
            </w:r>
          </w:p>
        </w:tc>
        <w:tc>
          <w:tcPr>
            <w:tcW w:w="1417" w:type="dxa"/>
          </w:tcPr>
          <w:p>
            <w:pPr>
              <w:pStyle w:val="0"/>
            </w:pPr>
            <w:r>
              <w:rPr>
                <w:sz w:val="20"/>
              </w:rPr>
            </w:r>
          </w:p>
        </w:tc>
        <w:tc>
          <w:tcPr>
            <w:tcW w:w="1531" w:type="dxa"/>
          </w:tcPr>
          <w:p>
            <w:pPr>
              <w:pStyle w:val="0"/>
            </w:pPr>
            <w:r>
              <w:rPr>
                <w:sz w:val="20"/>
              </w:rPr>
            </w:r>
          </w:p>
        </w:tc>
        <w:tc>
          <w:tcPr>
            <w:tcW w:w="964" w:type="dxa"/>
          </w:tcPr>
          <w:p>
            <w:pPr>
              <w:pStyle w:val="0"/>
            </w:pPr>
            <w:r>
              <w:rPr>
                <w:sz w:val="20"/>
              </w:rPr>
            </w:r>
          </w:p>
        </w:tc>
      </w:tr>
      <w:tr>
        <w:tc>
          <w:tcPr>
            <w:tcW w:w="567" w:type="dxa"/>
          </w:tcPr>
          <w:bookmarkStart w:id="581" w:name="P581"/>
          <w:bookmarkEnd w:id="581"/>
          <w:p>
            <w:pPr>
              <w:pStyle w:val="0"/>
            </w:pPr>
            <w:r>
              <w:rPr>
                <w:sz w:val="20"/>
              </w:rPr>
              <w:t xml:space="preserve">2.</w:t>
            </w:r>
          </w:p>
        </w:tc>
        <w:tc>
          <w:tcPr>
            <w:tcW w:w="4592" w:type="dxa"/>
          </w:tcPr>
          <w:p>
            <w:pPr>
              <w:pStyle w:val="0"/>
            </w:pPr>
            <w:r>
              <w:rPr>
                <w:sz w:val="20"/>
              </w:rPr>
              <w:t xml:space="preserve">Расходы на проведение мероприятий &lt;**&gt;</w:t>
            </w:r>
          </w:p>
        </w:tc>
        <w:tc>
          <w:tcPr>
            <w:tcW w:w="1417" w:type="dxa"/>
          </w:tcPr>
          <w:p>
            <w:pPr>
              <w:pStyle w:val="0"/>
              <w:jc w:val="center"/>
            </w:pPr>
            <w:r>
              <w:rPr>
                <w:sz w:val="20"/>
              </w:rPr>
              <w:t xml:space="preserve">x</w:t>
            </w:r>
          </w:p>
        </w:tc>
        <w:tc>
          <w:tcPr>
            <w:tcW w:w="1531" w:type="dxa"/>
          </w:tcPr>
          <w:p>
            <w:pPr>
              <w:pStyle w:val="0"/>
              <w:jc w:val="center"/>
            </w:pPr>
            <w:r>
              <w:rPr>
                <w:sz w:val="20"/>
              </w:rPr>
              <w:t xml:space="preserve">x</w:t>
            </w:r>
          </w:p>
        </w:tc>
        <w:tc>
          <w:tcPr>
            <w:tcW w:w="964" w:type="dxa"/>
          </w:tcPr>
          <w:p>
            <w:pPr>
              <w:pStyle w:val="0"/>
            </w:pPr>
            <w:r>
              <w:rPr>
                <w:sz w:val="20"/>
              </w:rPr>
            </w:r>
          </w:p>
        </w:tc>
      </w:tr>
      <w:tr>
        <w:tc>
          <w:tcPr>
            <w:tcW w:w="567" w:type="dxa"/>
          </w:tcPr>
          <w:p>
            <w:pPr>
              <w:pStyle w:val="0"/>
            </w:pPr>
            <w:r>
              <w:rPr>
                <w:sz w:val="20"/>
              </w:rPr>
              <w:t xml:space="preserve">2.1.</w:t>
            </w:r>
          </w:p>
        </w:tc>
        <w:tc>
          <w:tcPr>
            <w:tcW w:w="4592" w:type="dxa"/>
          </w:tcPr>
          <w:p>
            <w:pPr>
              <w:pStyle w:val="0"/>
            </w:pPr>
            <w:r>
              <w:rPr>
                <w:sz w:val="20"/>
              </w:rPr>
            </w:r>
          </w:p>
        </w:tc>
        <w:tc>
          <w:tcPr>
            <w:tcW w:w="1417" w:type="dxa"/>
          </w:tcPr>
          <w:p>
            <w:pPr>
              <w:pStyle w:val="0"/>
            </w:pPr>
            <w:r>
              <w:rPr>
                <w:sz w:val="20"/>
              </w:rPr>
            </w:r>
          </w:p>
        </w:tc>
        <w:tc>
          <w:tcPr>
            <w:tcW w:w="1531" w:type="dxa"/>
          </w:tcPr>
          <w:p>
            <w:pPr>
              <w:pStyle w:val="0"/>
            </w:pPr>
            <w:r>
              <w:rPr>
                <w:sz w:val="20"/>
              </w:rPr>
            </w:r>
          </w:p>
        </w:tc>
        <w:tc>
          <w:tcPr>
            <w:tcW w:w="964" w:type="dxa"/>
          </w:tcPr>
          <w:p>
            <w:pPr>
              <w:pStyle w:val="0"/>
            </w:pPr>
            <w:r>
              <w:rPr>
                <w:sz w:val="20"/>
              </w:rPr>
            </w:r>
          </w:p>
        </w:tc>
      </w:tr>
      <w:tr>
        <w:tc>
          <w:tcPr>
            <w:tcW w:w="567" w:type="dxa"/>
          </w:tcPr>
          <w:p>
            <w:pPr>
              <w:pStyle w:val="0"/>
            </w:pPr>
            <w:r>
              <w:rPr>
                <w:sz w:val="20"/>
              </w:rPr>
              <w:t xml:space="preserve">2.2.</w:t>
            </w:r>
          </w:p>
        </w:tc>
        <w:tc>
          <w:tcPr>
            <w:tcW w:w="4592" w:type="dxa"/>
          </w:tcPr>
          <w:p>
            <w:pPr>
              <w:pStyle w:val="0"/>
            </w:pPr>
            <w:r>
              <w:rPr>
                <w:sz w:val="20"/>
              </w:rPr>
            </w:r>
          </w:p>
        </w:tc>
        <w:tc>
          <w:tcPr>
            <w:tcW w:w="1417" w:type="dxa"/>
          </w:tcPr>
          <w:p>
            <w:pPr>
              <w:pStyle w:val="0"/>
            </w:pPr>
            <w:r>
              <w:rPr>
                <w:sz w:val="20"/>
              </w:rPr>
            </w:r>
          </w:p>
        </w:tc>
        <w:tc>
          <w:tcPr>
            <w:tcW w:w="1531" w:type="dxa"/>
          </w:tcPr>
          <w:p>
            <w:pPr>
              <w:pStyle w:val="0"/>
            </w:pPr>
            <w:r>
              <w:rPr>
                <w:sz w:val="20"/>
              </w:rPr>
            </w:r>
          </w:p>
        </w:tc>
        <w:tc>
          <w:tcPr>
            <w:tcW w:w="964" w:type="dxa"/>
          </w:tcPr>
          <w:p>
            <w:pPr>
              <w:pStyle w:val="0"/>
            </w:pPr>
            <w:r>
              <w:rPr>
                <w:sz w:val="20"/>
              </w:rPr>
            </w:r>
          </w:p>
        </w:tc>
      </w:tr>
      <w:tr>
        <w:tc>
          <w:tcPr>
            <w:tcW w:w="567" w:type="dxa"/>
          </w:tcPr>
          <w:p>
            <w:pPr>
              <w:pStyle w:val="0"/>
            </w:pPr>
            <w:r>
              <w:rPr>
                <w:sz w:val="20"/>
              </w:rPr>
            </w:r>
          </w:p>
        </w:tc>
        <w:tc>
          <w:tcPr>
            <w:tcW w:w="4592" w:type="dxa"/>
          </w:tcPr>
          <w:p>
            <w:pPr>
              <w:pStyle w:val="0"/>
            </w:pPr>
            <w:r>
              <w:rPr>
                <w:sz w:val="20"/>
              </w:rPr>
              <w:t xml:space="preserve">...</w:t>
            </w:r>
          </w:p>
        </w:tc>
        <w:tc>
          <w:tcPr>
            <w:tcW w:w="1417" w:type="dxa"/>
          </w:tcPr>
          <w:p>
            <w:pPr>
              <w:pStyle w:val="0"/>
            </w:pPr>
            <w:r>
              <w:rPr>
                <w:sz w:val="20"/>
              </w:rPr>
            </w:r>
          </w:p>
        </w:tc>
        <w:tc>
          <w:tcPr>
            <w:tcW w:w="1531" w:type="dxa"/>
          </w:tcPr>
          <w:p>
            <w:pPr>
              <w:pStyle w:val="0"/>
            </w:pPr>
            <w:r>
              <w:rPr>
                <w:sz w:val="20"/>
              </w:rPr>
            </w:r>
          </w:p>
        </w:tc>
        <w:tc>
          <w:tcPr>
            <w:tcW w:w="964" w:type="dxa"/>
          </w:tcPr>
          <w:p>
            <w:pPr>
              <w:pStyle w:val="0"/>
            </w:pPr>
            <w:r>
              <w:rPr>
                <w:sz w:val="20"/>
              </w:rPr>
            </w:r>
          </w:p>
        </w:tc>
      </w:tr>
      <w:tr>
        <w:tc>
          <w:tcPr>
            <w:gridSpan w:val="4"/>
            <w:tcW w:w="8107" w:type="dxa"/>
          </w:tcPr>
          <w:p>
            <w:pPr>
              <w:pStyle w:val="0"/>
            </w:pPr>
            <w:r>
              <w:rPr>
                <w:sz w:val="20"/>
              </w:rPr>
              <w:t xml:space="preserve">Итого:</w:t>
            </w:r>
          </w:p>
        </w:tc>
        <w:tc>
          <w:tcPr>
            <w:tcW w:w="964" w:type="dxa"/>
          </w:tcPr>
          <w:p>
            <w:pPr>
              <w:pStyle w:val="0"/>
            </w:pPr>
            <w:r>
              <w:rPr>
                <w:sz w:val="20"/>
              </w:rPr>
            </w:r>
          </w:p>
        </w:tc>
      </w:tr>
    </w:tbl>
    <w:p>
      <w:pPr>
        <w:pStyle w:val="0"/>
        <w:jc w:val="both"/>
      </w:pPr>
      <w:r>
        <w:rPr>
          <w:sz w:val="20"/>
        </w:rPr>
      </w:r>
    </w:p>
    <w:tbl>
      <w:tblPr>
        <w:tblInd w:w="0" w:type="dxa"/>
        <w:tblLayout w:type="fixed"/>
        <w:tblCellMar>
          <w:top w:w="102" w:type="dxa"/>
          <w:left w:w="62" w:type="dxa"/>
          <w:bottom w:w="102" w:type="dxa"/>
          <w:right w:w="62" w:type="dxa"/>
        </w:tblCellMar>
      </w:tblPr>
      <w:tblGrid>
        <w:gridCol w:w="9071"/>
      </w:tblGrid>
      <w:tr>
        <w:tc>
          <w:tcPr>
            <w:tcW w:w="9071" w:type="dxa"/>
            <w:tcBorders>
              <w:top w:val="nil"/>
              <w:left w:val="nil"/>
              <w:bottom w:val="nil"/>
              <w:right w:val="nil"/>
            </w:tcBorders>
          </w:tcPr>
          <w:p>
            <w:pPr>
              <w:pStyle w:val="0"/>
              <w:ind w:firstLine="283"/>
              <w:jc w:val="both"/>
            </w:pPr>
            <w:r>
              <w:rPr>
                <w:sz w:val="20"/>
              </w:rPr>
              <w:t xml:space="preserve">--------------------------------</w:t>
            </w:r>
          </w:p>
          <w:p>
            <w:pPr>
              <w:pStyle w:val="0"/>
              <w:ind w:firstLine="283"/>
              <w:jc w:val="both"/>
            </w:pPr>
            <w:r>
              <w:rPr>
                <w:sz w:val="20"/>
              </w:rPr>
              <w:t xml:space="preserve">&lt;*&gt; Направления расходования для </w:t>
            </w:r>
            <w:hyperlink w:history="0" w:anchor="P561" w:tooltip="1.">
              <w:r>
                <w:rPr>
                  <w:sz w:val="20"/>
                  <w:color w:val="0000ff"/>
                </w:rPr>
                <w:t xml:space="preserve">раздела 1</w:t>
              </w:r>
            </w:hyperlink>
            <w:r>
              <w:rPr>
                <w:sz w:val="20"/>
              </w:rPr>
              <w:t xml:space="preserve"> перечня затрат:</w:t>
            </w:r>
          </w:p>
          <w:p>
            <w:pPr>
              <w:pStyle w:val="0"/>
              <w:ind w:firstLine="283"/>
              <w:jc w:val="both"/>
            </w:pPr>
            <w:r>
              <w:rPr>
                <w:sz w:val="20"/>
              </w:rPr>
              <w:t xml:space="preserve">приобретение основных средств, мебели, техники, офисного оборудования, расходных материалов к нему, оборудования для рабочего пространства, аренду имущества (недвижимого имущества), за исключением аренды земельных участков и других обособленных природных объектов, закупку услуг по эксплуатационному, программному и транспортному обеспечению, по содержанию имущества (за исключением расходов на капитальный ремонт зданий).</w:t>
            </w:r>
          </w:p>
          <w:p>
            <w:pPr>
              <w:pStyle w:val="0"/>
              <w:ind w:firstLine="283"/>
              <w:jc w:val="both"/>
            </w:pPr>
            <w:r>
              <w:rPr>
                <w:sz w:val="20"/>
              </w:rPr>
              <w:t xml:space="preserve">&lt;**&gt; Направления расходования для </w:t>
            </w:r>
            <w:hyperlink w:history="0" w:anchor="P581" w:tooltip="2.">
              <w:r>
                <w:rPr>
                  <w:sz w:val="20"/>
                  <w:color w:val="0000ff"/>
                </w:rPr>
                <w:t xml:space="preserve">раздела 2</w:t>
              </w:r>
            </w:hyperlink>
            <w:r>
              <w:rPr>
                <w:sz w:val="20"/>
              </w:rPr>
              <w:t xml:space="preserve"> перечня затрат:</w:t>
            </w:r>
          </w:p>
          <w:p>
            <w:pPr>
              <w:pStyle w:val="0"/>
              <w:ind w:firstLine="283"/>
              <w:jc w:val="both"/>
            </w:pPr>
            <w:r>
              <w:rPr>
                <w:sz w:val="20"/>
              </w:rPr>
              <w:t xml:space="preserve">оплата транспортных расходов, работ/услуг привлеченных специалистов, изготовления полиграфической и имиджевой продукции, аренды помещений для организации и проведения мероприятий вне места нахождения Центра, проживания, питания участников мероприятия.</w:t>
            </w:r>
          </w:p>
          <w:p>
            <w:pPr>
              <w:pStyle w:val="0"/>
            </w:pPr>
            <w:r>
              <w:rPr>
                <w:sz w:val="20"/>
              </w:rPr>
            </w:r>
          </w:p>
          <w:p>
            <w:pPr>
              <w:pStyle w:val="0"/>
              <w:outlineLvl w:val="2"/>
              <w:jc w:val="center"/>
            </w:pPr>
            <w:r>
              <w:rPr>
                <w:sz w:val="20"/>
              </w:rPr>
              <w:t xml:space="preserve">3. Ожидаемые результаты использования гранта</w:t>
            </w:r>
          </w:p>
          <w:p>
            <w:pPr>
              <w:pStyle w:val="0"/>
            </w:pPr>
            <w:r>
              <w:rPr>
                <w:sz w:val="20"/>
              </w:rPr>
            </w:r>
          </w:p>
          <w:p>
            <w:pPr>
              <w:pStyle w:val="0"/>
              <w:ind w:firstLine="283"/>
              <w:jc w:val="both"/>
            </w:pPr>
            <w:r>
              <w:rPr>
                <w:sz w:val="20"/>
              </w:rPr>
              <w:t xml:space="preserve">Описание позитивного эффекта от использования гранта из областного бюджета, включая изменения в материально технической базе и инфраструктуре Добро.Центра, влияния этих изменений на создание условий для развития добровольчества, эффекта от реализации мероприятий в период использования гранта.</w:t>
            </w:r>
          </w:p>
        </w:tc>
      </w:tr>
    </w:tbl>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2</w:t>
      </w:r>
    </w:p>
    <w:p>
      <w:pPr>
        <w:pStyle w:val="0"/>
        <w:jc w:val="right"/>
      </w:pPr>
      <w:r>
        <w:rPr>
          <w:sz w:val="20"/>
        </w:rPr>
        <w:t xml:space="preserve">к Порядку</w:t>
      </w:r>
    </w:p>
    <w:p>
      <w:pPr>
        <w:pStyle w:val="0"/>
        <w:jc w:val="both"/>
      </w:pPr>
      <w:r>
        <w:rPr>
          <w:sz w:val="20"/>
        </w:rPr>
      </w:r>
    </w:p>
    <w:tbl>
      <w:tblPr>
        <w:tblInd w:w="0" w:type="dxa"/>
        <w:tblLayout w:type="fixed"/>
        <w:tblCellMar>
          <w:top w:w="102" w:type="dxa"/>
          <w:left w:w="62" w:type="dxa"/>
          <w:bottom w:w="102" w:type="dxa"/>
          <w:right w:w="62" w:type="dxa"/>
        </w:tblCellMar>
      </w:tblPr>
      <w:tblGrid>
        <w:gridCol w:w="9071"/>
      </w:tblGrid>
      <w:tr>
        <w:tc>
          <w:tcPr>
            <w:tcW w:w="9071" w:type="dxa"/>
            <w:tcBorders>
              <w:top w:val="nil"/>
              <w:left w:val="nil"/>
              <w:bottom w:val="nil"/>
              <w:right w:val="nil"/>
            </w:tcBorders>
          </w:tcPr>
          <w:bookmarkStart w:id="621" w:name="P621"/>
          <w:bookmarkEnd w:id="621"/>
          <w:p>
            <w:pPr>
              <w:pStyle w:val="0"/>
              <w:jc w:val="center"/>
            </w:pPr>
            <w:r>
              <w:rPr>
                <w:sz w:val="20"/>
              </w:rPr>
              <w:t xml:space="preserve">ЗАЯВЛЕНИЕ</w:t>
            </w:r>
          </w:p>
          <w:p>
            <w:pPr>
              <w:pStyle w:val="0"/>
              <w:jc w:val="center"/>
            </w:pPr>
            <w:r>
              <w:rPr>
                <w:sz w:val="20"/>
              </w:rPr>
              <w:t xml:space="preserve">о необходимости перераспределения средств</w:t>
            </w:r>
          </w:p>
          <w:p>
            <w:pPr>
              <w:pStyle w:val="0"/>
              <w:jc w:val="center"/>
            </w:pPr>
            <w:r>
              <w:rPr>
                <w:sz w:val="20"/>
              </w:rPr>
              <w:t xml:space="preserve">между направлениями использования средств,</w:t>
            </w:r>
          </w:p>
          <w:p>
            <w:pPr>
              <w:pStyle w:val="0"/>
              <w:jc w:val="center"/>
            </w:pPr>
            <w:r>
              <w:rPr>
                <w:sz w:val="20"/>
              </w:rPr>
              <w:t xml:space="preserve">предусмотренными перечнем затрат</w:t>
            </w:r>
          </w:p>
        </w:tc>
      </w:tr>
      <w:tr>
        <w:tc>
          <w:tcPr>
            <w:tcW w:w="9071" w:type="dxa"/>
            <w:tcBorders>
              <w:top w:val="nil"/>
              <w:left w:val="nil"/>
              <w:bottom w:val="nil"/>
              <w:right w:val="nil"/>
            </w:tcBorders>
          </w:tcPr>
          <w:p>
            <w:pPr>
              <w:pStyle w:val="0"/>
            </w:pPr>
            <w:r>
              <w:rPr>
                <w:sz w:val="20"/>
              </w:rPr>
            </w:r>
          </w:p>
        </w:tc>
      </w:tr>
      <w:tr>
        <w:tc>
          <w:tcPr>
            <w:tcW w:w="9071" w:type="dxa"/>
            <w:tcBorders>
              <w:top w:val="nil"/>
              <w:left w:val="nil"/>
              <w:bottom w:val="nil"/>
              <w:right w:val="nil"/>
            </w:tcBorders>
          </w:tcPr>
          <w:p>
            <w:pPr>
              <w:pStyle w:val="0"/>
              <w:outlineLvl w:val="2"/>
              <w:ind w:firstLine="283"/>
              <w:jc w:val="both"/>
            </w:pPr>
            <w:r>
              <w:rPr>
                <w:sz w:val="20"/>
              </w:rPr>
              <w:t xml:space="preserve">1. Общие сведения</w:t>
            </w:r>
          </w:p>
        </w:tc>
      </w:tr>
    </w:tbl>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67"/>
        <w:gridCol w:w="3201"/>
        <w:gridCol w:w="1077"/>
        <w:gridCol w:w="1156"/>
        <w:gridCol w:w="3061"/>
      </w:tblGrid>
      <w:tr>
        <w:tc>
          <w:tcPr>
            <w:tcW w:w="567" w:type="dxa"/>
          </w:tcPr>
          <w:p>
            <w:pPr>
              <w:pStyle w:val="0"/>
            </w:pPr>
            <w:r>
              <w:rPr>
                <w:sz w:val="20"/>
              </w:rPr>
              <w:t xml:space="preserve">1.</w:t>
            </w:r>
          </w:p>
        </w:tc>
        <w:tc>
          <w:tcPr>
            <w:gridSpan w:val="2"/>
            <w:tcW w:w="4278" w:type="dxa"/>
          </w:tcPr>
          <w:p>
            <w:pPr>
              <w:pStyle w:val="0"/>
            </w:pPr>
            <w:r>
              <w:rPr>
                <w:sz w:val="20"/>
              </w:rPr>
              <w:t xml:space="preserve">Полное наименование Добро.Центра - получателя гранта в соответствии с учредительными документами</w:t>
            </w:r>
          </w:p>
        </w:tc>
        <w:tc>
          <w:tcPr>
            <w:gridSpan w:val="2"/>
            <w:tcW w:w="4217" w:type="dxa"/>
          </w:tcPr>
          <w:p>
            <w:pPr>
              <w:pStyle w:val="0"/>
            </w:pPr>
            <w:r>
              <w:rPr>
                <w:sz w:val="20"/>
              </w:rPr>
            </w:r>
          </w:p>
        </w:tc>
      </w:tr>
      <w:tr>
        <w:tc>
          <w:tcPr>
            <w:tcW w:w="567" w:type="dxa"/>
          </w:tcPr>
          <w:p>
            <w:pPr>
              <w:pStyle w:val="0"/>
            </w:pPr>
            <w:r>
              <w:rPr>
                <w:sz w:val="20"/>
              </w:rPr>
              <w:t xml:space="preserve">2.</w:t>
            </w:r>
          </w:p>
        </w:tc>
        <w:tc>
          <w:tcPr>
            <w:gridSpan w:val="2"/>
            <w:tcW w:w="4278" w:type="dxa"/>
          </w:tcPr>
          <w:p>
            <w:pPr>
              <w:pStyle w:val="0"/>
            </w:pPr>
            <w:r>
              <w:rPr>
                <w:sz w:val="20"/>
              </w:rPr>
              <w:t xml:space="preserve">Кратко описать, на что направлены мероприятия проекта/программы</w:t>
            </w:r>
          </w:p>
        </w:tc>
        <w:tc>
          <w:tcPr>
            <w:gridSpan w:val="2"/>
            <w:tcW w:w="4217" w:type="dxa"/>
          </w:tcPr>
          <w:p>
            <w:pPr>
              <w:pStyle w:val="0"/>
            </w:pPr>
            <w:r>
              <w:rPr>
                <w:sz w:val="20"/>
              </w:rPr>
            </w:r>
          </w:p>
        </w:tc>
      </w:tr>
      <w:tr>
        <w:tc>
          <w:tcPr>
            <w:tcW w:w="567" w:type="dxa"/>
          </w:tcPr>
          <w:p>
            <w:pPr>
              <w:pStyle w:val="0"/>
            </w:pPr>
            <w:r>
              <w:rPr>
                <w:sz w:val="20"/>
              </w:rPr>
              <w:t xml:space="preserve">3.</w:t>
            </w:r>
          </w:p>
        </w:tc>
        <w:tc>
          <w:tcPr>
            <w:gridSpan w:val="2"/>
            <w:tcW w:w="4278" w:type="dxa"/>
          </w:tcPr>
          <w:p>
            <w:pPr>
              <w:pStyle w:val="0"/>
            </w:pPr>
            <w:r>
              <w:rPr>
                <w:sz w:val="20"/>
              </w:rPr>
              <w:t xml:space="preserve">Реквизиты договора о предоставлении из областного бюджета гранта</w:t>
            </w:r>
          </w:p>
        </w:tc>
        <w:tc>
          <w:tcPr>
            <w:gridSpan w:val="2"/>
            <w:tcW w:w="4217" w:type="dxa"/>
          </w:tcPr>
          <w:p>
            <w:pPr>
              <w:pStyle w:val="0"/>
            </w:pPr>
            <w:r>
              <w:rPr>
                <w:sz w:val="20"/>
              </w:rPr>
              <w:t xml:space="preserve">N ____ от ___________ 20 __ г.</w:t>
            </w:r>
          </w:p>
        </w:tc>
      </w:tr>
      <w:tr>
        <w:tc>
          <w:tcPr>
            <w:tcW w:w="567" w:type="dxa"/>
          </w:tcPr>
          <w:p>
            <w:pPr>
              <w:pStyle w:val="0"/>
            </w:pPr>
            <w:r>
              <w:rPr>
                <w:sz w:val="20"/>
              </w:rPr>
              <w:t xml:space="preserve">4.</w:t>
            </w:r>
          </w:p>
        </w:tc>
        <w:tc>
          <w:tcPr>
            <w:gridSpan w:val="2"/>
            <w:tcW w:w="4278" w:type="dxa"/>
          </w:tcPr>
          <w:p>
            <w:pPr>
              <w:pStyle w:val="0"/>
            </w:pPr>
            <w:r>
              <w:rPr>
                <w:sz w:val="20"/>
              </w:rPr>
              <w:t xml:space="preserve">Сумма гранта в соответствии с договором (руб.)</w:t>
            </w:r>
          </w:p>
        </w:tc>
        <w:tc>
          <w:tcPr>
            <w:gridSpan w:val="2"/>
            <w:tcW w:w="4217" w:type="dxa"/>
          </w:tcPr>
          <w:p>
            <w:pPr>
              <w:pStyle w:val="0"/>
            </w:pPr>
            <w:r>
              <w:rPr>
                <w:sz w:val="20"/>
              </w:rPr>
            </w:r>
          </w:p>
        </w:tc>
      </w:tr>
      <w:tr>
        <w:tc>
          <w:tcPr>
            <w:tcW w:w="567" w:type="dxa"/>
            <w:vMerge w:val="restart"/>
          </w:tcPr>
          <w:p>
            <w:pPr>
              <w:pStyle w:val="0"/>
            </w:pPr>
            <w:r>
              <w:rPr>
                <w:sz w:val="20"/>
              </w:rPr>
              <w:t xml:space="preserve">5.</w:t>
            </w:r>
          </w:p>
        </w:tc>
        <w:tc>
          <w:tcPr>
            <w:tcW w:w="3201" w:type="dxa"/>
            <w:vMerge w:val="restart"/>
          </w:tcPr>
          <w:p>
            <w:pPr>
              <w:pStyle w:val="0"/>
            </w:pPr>
            <w:r>
              <w:rPr>
                <w:sz w:val="20"/>
              </w:rPr>
              <w:t xml:space="preserve">Даты начала и окончания периода использования средств гранта в соответствии с договором</w:t>
            </w:r>
          </w:p>
        </w:tc>
        <w:tc>
          <w:tcPr>
            <w:gridSpan w:val="2"/>
            <w:tcW w:w="2233" w:type="dxa"/>
          </w:tcPr>
          <w:p>
            <w:pPr>
              <w:pStyle w:val="0"/>
            </w:pPr>
            <w:r>
              <w:rPr>
                <w:sz w:val="20"/>
              </w:rPr>
            </w:r>
          </w:p>
        </w:tc>
        <w:tc>
          <w:tcPr>
            <w:tcW w:w="3061" w:type="dxa"/>
          </w:tcPr>
          <w:p>
            <w:pPr>
              <w:pStyle w:val="0"/>
            </w:pPr>
            <w:r>
              <w:rPr>
                <w:sz w:val="20"/>
              </w:rPr>
            </w:r>
          </w:p>
        </w:tc>
      </w:tr>
      <w:tr>
        <w:tc>
          <w:tcPr>
            <w:vMerge w:val="continue"/>
          </w:tcPr>
          <w:p/>
        </w:tc>
        <w:tc>
          <w:tcPr>
            <w:vMerge w:val="continue"/>
          </w:tcPr>
          <w:p/>
        </w:tc>
        <w:tc>
          <w:tcPr>
            <w:gridSpan w:val="2"/>
            <w:tcW w:w="2233" w:type="dxa"/>
          </w:tcPr>
          <w:p>
            <w:pPr>
              <w:pStyle w:val="0"/>
              <w:jc w:val="center"/>
            </w:pPr>
            <w:r>
              <w:rPr>
                <w:sz w:val="20"/>
              </w:rPr>
              <w:t xml:space="preserve">дд/мм/гг начала</w:t>
            </w:r>
          </w:p>
        </w:tc>
        <w:tc>
          <w:tcPr>
            <w:tcW w:w="3061" w:type="dxa"/>
          </w:tcPr>
          <w:p>
            <w:pPr>
              <w:pStyle w:val="0"/>
              <w:jc w:val="center"/>
            </w:pPr>
            <w:r>
              <w:rPr>
                <w:sz w:val="20"/>
              </w:rPr>
              <w:t xml:space="preserve">дд/мм/гг окончания</w:t>
            </w:r>
          </w:p>
        </w:tc>
      </w:tr>
      <w:tr>
        <w:tc>
          <w:tcPr>
            <w:tcW w:w="567" w:type="dxa"/>
            <w:vMerge w:val="restart"/>
          </w:tcPr>
          <w:p>
            <w:pPr>
              <w:pStyle w:val="0"/>
            </w:pPr>
            <w:r>
              <w:rPr>
                <w:sz w:val="20"/>
              </w:rPr>
              <w:t xml:space="preserve">6.</w:t>
            </w:r>
          </w:p>
        </w:tc>
        <w:tc>
          <w:tcPr>
            <w:gridSpan w:val="2"/>
            <w:tcW w:w="4278" w:type="dxa"/>
            <w:vMerge w:val="restart"/>
          </w:tcPr>
          <w:p>
            <w:pPr>
              <w:pStyle w:val="0"/>
            </w:pPr>
            <w:r>
              <w:rPr>
                <w:sz w:val="20"/>
              </w:rPr>
              <w:t xml:space="preserve">Руководитель организации</w:t>
            </w:r>
          </w:p>
        </w:tc>
        <w:tc>
          <w:tcPr>
            <w:gridSpan w:val="2"/>
            <w:tcW w:w="4217" w:type="dxa"/>
          </w:tcPr>
          <w:p>
            <w:pPr>
              <w:pStyle w:val="0"/>
            </w:pPr>
            <w:r>
              <w:rPr>
                <w:sz w:val="20"/>
              </w:rPr>
            </w:r>
          </w:p>
        </w:tc>
      </w:tr>
      <w:tr>
        <w:tc>
          <w:tcPr>
            <w:vMerge w:val="continue"/>
          </w:tcPr>
          <w:p/>
        </w:tc>
        <w:tc>
          <w:tcPr>
            <w:gridSpan w:val="2"/>
            <w:vMerge w:val="continue"/>
          </w:tcPr>
          <w:p/>
        </w:tc>
        <w:tc>
          <w:tcPr>
            <w:gridSpan w:val="2"/>
            <w:tcW w:w="4217" w:type="dxa"/>
          </w:tcPr>
          <w:p>
            <w:pPr>
              <w:pStyle w:val="0"/>
              <w:jc w:val="center"/>
            </w:pPr>
            <w:r>
              <w:rPr>
                <w:sz w:val="20"/>
              </w:rPr>
              <w:t xml:space="preserve">(должность, фамилия, имя, отчество)</w:t>
            </w:r>
          </w:p>
        </w:tc>
      </w:tr>
      <w:tr>
        <w:tc>
          <w:tcPr>
            <w:tcW w:w="567" w:type="dxa"/>
          </w:tcPr>
          <w:p>
            <w:pPr>
              <w:pStyle w:val="0"/>
            </w:pPr>
            <w:r>
              <w:rPr>
                <w:sz w:val="20"/>
              </w:rPr>
              <w:t xml:space="preserve">7.</w:t>
            </w:r>
          </w:p>
        </w:tc>
        <w:tc>
          <w:tcPr>
            <w:gridSpan w:val="2"/>
            <w:tcW w:w="4278" w:type="dxa"/>
          </w:tcPr>
          <w:p>
            <w:pPr>
              <w:pStyle w:val="0"/>
            </w:pPr>
            <w:r>
              <w:rPr>
                <w:sz w:val="20"/>
              </w:rPr>
              <w:t xml:space="preserve">Адрес местонахождения организации</w:t>
            </w:r>
          </w:p>
        </w:tc>
        <w:tc>
          <w:tcPr>
            <w:gridSpan w:val="2"/>
            <w:tcW w:w="4217" w:type="dxa"/>
          </w:tcPr>
          <w:p>
            <w:pPr>
              <w:pStyle w:val="0"/>
            </w:pPr>
            <w:r>
              <w:rPr>
                <w:sz w:val="20"/>
              </w:rPr>
            </w:r>
          </w:p>
        </w:tc>
      </w:tr>
      <w:tr>
        <w:tc>
          <w:tcPr>
            <w:tcW w:w="567" w:type="dxa"/>
          </w:tcPr>
          <w:p>
            <w:pPr>
              <w:pStyle w:val="0"/>
            </w:pPr>
            <w:r>
              <w:rPr>
                <w:sz w:val="20"/>
              </w:rPr>
              <w:t xml:space="preserve">8.</w:t>
            </w:r>
          </w:p>
        </w:tc>
        <w:tc>
          <w:tcPr>
            <w:gridSpan w:val="2"/>
            <w:tcW w:w="4278" w:type="dxa"/>
          </w:tcPr>
          <w:p>
            <w:pPr>
              <w:pStyle w:val="0"/>
            </w:pPr>
            <w:r>
              <w:rPr>
                <w:sz w:val="20"/>
              </w:rPr>
              <w:t xml:space="preserve">Контактный телефон</w:t>
            </w:r>
          </w:p>
        </w:tc>
        <w:tc>
          <w:tcPr>
            <w:gridSpan w:val="2"/>
            <w:tcW w:w="4217" w:type="dxa"/>
          </w:tcPr>
          <w:p>
            <w:pPr>
              <w:pStyle w:val="0"/>
            </w:pPr>
            <w:r>
              <w:rPr>
                <w:sz w:val="20"/>
              </w:rPr>
            </w:r>
          </w:p>
        </w:tc>
      </w:tr>
      <w:tr>
        <w:tc>
          <w:tcPr>
            <w:tcW w:w="567" w:type="dxa"/>
          </w:tcPr>
          <w:p>
            <w:pPr>
              <w:pStyle w:val="0"/>
            </w:pPr>
            <w:r>
              <w:rPr>
                <w:sz w:val="20"/>
              </w:rPr>
              <w:t xml:space="preserve">9.</w:t>
            </w:r>
          </w:p>
        </w:tc>
        <w:tc>
          <w:tcPr>
            <w:gridSpan w:val="2"/>
            <w:tcW w:w="4278" w:type="dxa"/>
          </w:tcPr>
          <w:p>
            <w:pPr>
              <w:pStyle w:val="0"/>
            </w:pPr>
            <w:r>
              <w:rPr>
                <w:sz w:val="20"/>
              </w:rPr>
              <w:t xml:space="preserve">Электронная почта</w:t>
            </w:r>
          </w:p>
        </w:tc>
        <w:tc>
          <w:tcPr>
            <w:gridSpan w:val="2"/>
            <w:tcW w:w="4217" w:type="dxa"/>
          </w:tcPr>
          <w:p>
            <w:pPr>
              <w:pStyle w:val="0"/>
            </w:pPr>
            <w:r>
              <w:rPr>
                <w:sz w:val="20"/>
              </w:rPr>
            </w:r>
          </w:p>
        </w:tc>
      </w:tr>
    </w:tbl>
    <w:p>
      <w:pPr>
        <w:pStyle w:val="0"/>
        <w:jc w:val="both"/>
      </w:pPr>
      <w:r>
        <w:rPr>
          <w:sz w:val="20"/>
        </w:rPr>
      </w:r>
    </w:p>
    <w:tbl>
      <w:tblPr>
        <w:tblInd w:w="0" w:type="dxa"/>
        <w:tblLayout w:type="fixed"/>
        <w:tblCellMar>
          <w:top w:w="102" w:type="dxa"/>
          <w:left w:w="62" w:type="dxa"/>
          <w:bottom w:w="102" w:type="dxa"/>
          <w:right w:w="62" w:type="dxa"/>
        </w:tblCellMar>
      </w:tblPr>
      <w:tblGrid>
        <w:gridCol w:w="9071"/>
      </w:tblGrid>
      <w:tr>
        <w:tc>
          <w:tcPr>
            <w:tcW w:w="9071" w:type="dxa"/>
            <w:tcBorders>
              <w:top w:val="nil"/>
              <w:left w:val="nil"/>
              <w:bottom w:val="nil"/>
              <w:right w:val="nil"/>
            </w:tcBorders>
          </w:tcPr>
          <w:p>
            <w:pPr>
              <w:pStyle w:val="0"/>
              <w:outlineLvl w:val="2"/>
              <w:ind w:firstLine="283"/>
              <w:jc w:val="both"/>
            </w:pPr>
            <w:r>
              <w:rPr>
                <w:sz w:val="20"/>
              </w:rPr>
              <w:t xml:space="preserve">2. Информация о необходимости перераспределения средств между направлениями использования средств гранта, предусмотренными перечнем затрат.</w:t>
            </w:r>
          </w:p>
        </w:tc>
      </w:tr>
    </w:tbl>
    <w:p>
      <w:pPr>
        <w:pStyle w:val="0"/>
        <w:jc w:val="both"/>
      </w:pPr>
      <w:r>
        <w:rPr>
          <w:sz w:val="20"/>
        </w:rPr>
      </w:r>
    </w:p>
    <w:p>
      <w:pPr>
        <w:sectPr>
          <w:headerReference w:type="default" r:id="rId6"/>
          <w:headerReference w:type="first" r:id="rId6"/>
          <w:footerReference w:type="default" r:id="rId7"/>
          <w:footerReference w:type="first" r:id="rId7"/>
          <w:pgSz w:w="11906" w:h="16838"/>
          <w:pgMar w:top="1440" w:right="566" w:bottom="1440" w:left="1133" w:header="0" w:footer="0" w:gutter="0"/>
          <w:titlePg/>
        </w:sectPr>
      </w:pP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604"/>
        <w:gridCol w:w="3005"/>
        <w:gridCol w:w="3379"/>
        <w:gridCol w:w="2665"/>
        <w:gridCol w:w="3736"/>
      </w:tblGrid>
      <w:tr>
        <w:tc>
          <w:tcPr>
            <w:tcW w:w="604" w:type="dxa"/>
          </w:tcPr>
          <w:p>
            <w:pPr>
              <w:pStyle w:val="0"/>
              <w:jc w:val="center"/>
            </w:pPr>
            <w:r>
              <w:rPr>
                <w:sz w:val="20"/>
              </w:rPr>
              <w:t xml:space="preserve">N</w:t>
            </w:r>
          </w:p>
          <w:p>
            <w:pPr>
              <w:pStyle w:val="0"/>
              <w:jc w:val="center"/>
            </w:pPr>
            <w:r>
              <w:rPr>
                <w:sz w:val="20"/>
              </w:rPr>
              <w:t xml:space="preserve">п/п</w:t>
            </w:r>
          </w:p>
        </w:tc>
        <w:tc>
          <w:tcPr>
            <w:tcW w:w="3005" w:type="dxa"/>
          </w:tcPr>
          <w:p>
            <w:pPr>
              <w:pStyle w:val="0"/>
            </w:pPr>
            <w:r>
              <w:rPr>
                <w:sz w:val="20"/>
              </w:rPr>
              <w:t xml:space="preserve">Исходные данные по смете (порядковый номер статьи расходов, направление использования средств и объем средств (руб.)</w:t>
            </w:r>
          </w:p>
        </w:tc>
        <w:tc>
          <w:tcPr>
            <w:tcW w:w="3379" w:type="dxa"/>
          </w:tcPr>
          <w:p>
            <w:pPr>
              <w:pStyle w:val="0"/>
            </w:pPr>
            <w:r>
              <w:rPr>
                <w:sz w:val="20"/>
              </w:rPr>
              <w:t xml:space="preserve">Проект измененных данных (предлагаемые наименование направления использования средств и объем средств (руб.)</w:t>
            </w:r>
          </w:p>
        </w:tc>
        <w:tc>
          <w:tcPr>
            <w:tcW w:w="2665" w:type="dxa"/>
          </w:tcPr>
          <w:p>
            <w:pPr>
              <w:pStyle w:val="0"/>
            </w:pPr>
            <w:r>
              <w:rPr>
                <w:sz w:val="20"/>
              </w:rPr>
              <w:t xml:space="preserve">Объем уменьшения/увеличения средств (руб.)</w:t>
            </w:r>
          </w:p>
        </w:tc>
        <w:tc>
          <w:tcPr>
            <w:tcW w:w="3736" w:type="dxa"/>
          </w:tcPr>
          <w:p>
            <w:pPr>
              <w:pStyle w:val="0"/>
            </w:pPr>
            <w:r>
              <w:rPr>
                <w:sz w:val="20"/>
              </w:rPr>
              <w:t xml:space="preserve">Причины внесения изменения в перечне затрат и степень влияния изменений на суть и качество функционирования Добро.Центра</w:t>
            </w:r>
          </w:p>
        </w:tc>
      </w:tr>
      <w:tr>
        <w:tc>
          <w:tcPr>
            <w:tcW w:w="604" w:type="dxa"/>
          </w:tcPr>
          <w:p>
            <w:pPr>
              <w:pStyle w:val="0"/>
            </w:pPr>
            <w:r>
              <w:rPr>
                <w:sz w:val="20"/>
              </w:rPr>
              <w:t xml:space="preserve">1.</w:t>
            </w:r>
          </w:p>
        </w:tc>
        <w:tc>
          <w:tcPr>
            <w:tcW w:w="3005" w:type="dxa"/>
          </w:tcPr>
          <w:p>
            <w:pPr>
              <w:pStyle w:val="0"/>
            </w:pPr>
            <w:r>
              <w:rPr>
                <w:sz w:val="20"/>
              </w:rPr>
            </w:r>
          </w:p>
        </w:tc>
        <w:tc>
          <w:tcPr>
            <w:tcW w:w="3379" w:type="dxa"/>
          </w:tcPr>
          <w:p>
            <w:pPr>
              <w:pStyle w:val="0"/>
            </w:pPr>
            <w:r>
              <w:rPr>
                <w:sz w:val="20"/>
              </w:rPr>
            </w:r>
          </w:p>
        </w:tc>
        <w:tc>
          <w:tcPr>
            <w:tcW w:w="2665" w:type="dxa"/>
          </w:tcPr>
          <w:p>
            <w:pPr>
              <w:pStyle w:val="0"/>
            </w:pPr>
            <w:r>
              <w:rPr>
                <w:sz w:val="20"/>
              </w:rPr>
            </w:r>
          </w:p>
        </w:tc>
        <w:tc>
          <w:tcPr>
            <w:tcW w:w="3736" w:type="dxa"/>
          </w:tcPr>
          <w:p>
            <w:pPr>
              <w:pStyle w:val="0"/>
            </w:pPr>
            <w:r>
              <w:rPr>
                <w:sz w:val="20"/>
              </w:rPr>
            </w:r>
          </w:p>
        </w:tc>
      </w:tr>
      <w:tr>
        <w:tc>
          <w:tcPr>
            <w:tcW w:w="604" w:type="dxa"/>
          </w:tcPr>
          <w:p>
            <w:pPr>
              <w:pStyle w:val="0"/>
            </w:pPr>
            <w:r>
              <w:rPr>
                <w:sz w:val="20"/>
              </w:rPr>
              <w:t xml:space="preserve">2.</w:t>
            </w:r>
          </w:p>
        </w:tc>
        <w:tc>
          <w:tcPr>
            <w:tcW w:w="3005" w:type="dxa"/>
          </w:tcPr>
          <w:p>
            <w:pPr>
              <w:pStyle w:val="0"/>
            </w:pPr>
            <w:r>
              <w:rPr>
                <w:sz w:val="20"/>
              </w:rPr>
            </w:r>
          </w:p>
        </w:tc>
        <w:tc>
          <w:tcPr>
            <w:tcW w:w="3379" w:type="dxa"/>
          </w:tcPr>
          <w:p>
            <w:pPr>
              <w:pStyle w:val="0"/>
            </w:pPr>
            <w:r>
              <w:rPr>
                <w:sz w:val="20"/>
              </w:rPr>
            </w:r>
          </w:p>
        </w:tc>
        <w:tc>
          <w:tcPr>
            <w:tcW w:w="2665" w:type="dxa"/>
          </w:tcPr>
          <w:p>
            <w:pPr>
              <w:pStyle w:val="0"/>
            </w:pPr>
            <w:r>
              <w:rPr>
                <w:sz w:val="20"/>
              </w:rPr>
            </w:r>
          </w:p>
        </w:tc>
        <w:tc>
          <w:tcPr>
            <w:tcW w:w="3736" w:type="dxa"/>
          </w:tcPr>
          <w:p>
            <w:pPr>
              <w:pStyle w:val="0"/>
            </w:pPr>
            <w:r>
              <w:rPr>
                <w:sz w:val="20"/>
              </w:rPr>
            </w:r>
          </w:p>
        </w:tc>
      </w:tr>
      <w:tr>
        <w:tc>
          <w:tcPr>
            <w:tcW w:w="604" w:type="dxa"/>
          </w:tcPr>
          <w:p>
            <w:pPr>
              <w:pStyle w:val="0"/>
            </w:pPr>
            <w:r>
              <w:rPr>
                <w:sz w:val="20"/>
              </w:rPr>
              <w:t xml:space="preserve">3.</w:t>
            </w:r>
          </w:p>
        </w:tc>
        <w:tc>
          <w:tcPr>
            <w:tcW w:w="3005" w:type="dxa"/>
          </w:tcPr>
          <w:p>
            <w:pPr>
              <w:pStyle w:val="0"/>
            </w:pPr>
            <w:r>
              <w:rPr>
                <w:sz w:val="20"/>
              </w:rPr>
            </w:r>
          </w:p>
        </w:tc>
        <w:tc>
          <w:tcPr>
            <w:tcW w:w="3379" w:type="dxa"/>
          </w:tcPr>
          <w:p>
            <w:pPr>
              <w:pStyle w:val="0"/>
            </w:pPr>
            <w:r>
              <w:rPr>
                <w:sz w:val="20"/>
              </w:rPr>
            </w:r>
          </w:p>
        </w:tc>
        <w:tc>
          <w:tcPr>
            <w:tcW w:w="2665" w:type="dxa"/>
          </w:tcPr>
          <w:p>
            <w:pPr>
              <w:pStyle w:val="0"/>
            </w:pPr>
            <w:r>
              <w:rPr>
                <w:sz w:val="20"/>
              </w:rPr>
            </w:r>
          </w:p>
        </w:tc>
        <w:tc>
          <w:tcPr>
            <w:tcW w:w="3736" w:type="dxa"/>
          </w:tcPr>
          <w:p>
            <w:pPr>
              <w:pStyle w:val="0"/>
            </w:pPr>
            <w:r>
              <w:rPr>
                <w:sz w:val="20"/>
              </w:rPr>
            </w:r>
          </w:p>
        </w:tc>
      </w:tr>
    </w:tbl>
    <w:p>
      <w:pPr>
        <w:sectPr>
          <w:headerReference w:type="default" r:id="rId34"/>
          <w:headerReference w:type="first" r:id="rId34"/>
          <w:footerReference w:type="default" r:id="rId35"/>
          <w:footerReference w:type="first" r:id="rId35"/>
          <w:pgSz w:w="16838" w:h="11906" w:orient="landscape"/>
          <w:pgMar w:top="1133" w:right="1440" w:bottom="566" w:left="1440" w:header="0" w:footer="0" w:gutter="0"/>
          <w:titlePg/>
        </w:sectPr>
      </w:pPr>
    </w:p>
    <w:p>
      <w:pPr>
        <w:pStyle w:val="0"/>
        <w:jc w:val="both"/>
      </w:pPr>
      <w:r>
        <w:rPr>
          <w:sz w:val="20"/>
        </w:rPr>
      </w:r>
    </w:p>
    <w:tbl>
      <w:tblPr>
        <w:tblInd w:w="0" w:type="dxa"/>
        <w:tblLayout w:type="fixed"/>
        <w:tblCellMar>
          <w:top w:w="102" w:type="dxa"/>
          <w:left w:w="62" w:type="dxa"/>
          <w:bottom w:w="102" w:type="dxa"/>
          <w:right w:w="62" w:type="dxa"/>
        </w:tblCellMar>
      </w:tblPr>
      <w:tblGrid>
        <w:gridCol w:w="3288"/>
        <w:gridCol w:w="522"/>
        <w:gridCol w:w="1644"/>
        <w:gridCol w:w="522"/>
        <w:gridCol w:w="3061"/>
      </w:tblGrid>
      <w:tr>
        <w:tblPrEx>
          <w:tblBorders>
            <w:insideH w:val="single" w:sz="4"/>
          </w:tblBorders>
        </w:tblPrEx>
        <w:tc>
          <w:tcPr>
            <w:tcW w:w="3288" w:type="dxa"/>
            <w:tcBorders>
              <w:top w:val="nil"/>
              <w:left w:val="nil"/>
              <w:bottom w:val="single" w:sz="4"/>
              <w:right w:val="nil"/>
            </w:tcBorders>
          </w:tcPr>
          <w:p>
            <w:pPr>
              <w:pStyle w:val="0"/>
            </w:pPr>
            <w:r>
              <w:rPr>
                <w:sz w:val="20"/>
              </w:rPr>
            </w:r>
          </w:p>
        </w:tc>
        <w:tc>
          <w:tcPr>
            <w:tcW w:w="522" w:type="dxa"/>
            <w:tcBorders>
              <w:top w:val="nil"/>
              <w:left w:val="nil"/>
              <w:bottom w:val="nil"/>
              <w:right w:val="nil"/>
            </w:tcBorders>
          </w:tcPr>
          <w:p>
            <w:pPr>
              <w:pStyle w:val="0"/>
            </w:pPr>
            <w:r>
              <w:rPr>
                <w:sz w:val="20"/>
              </w:rPr>
            </w:r>
          </w:p>
        </w:tc>
        <w:tc>
          <w:tcPr>
            <w:tcW w:w="1644" w:type="dxa"/>
            <w:tcBorders>
              <w:top w:val="nil"/>
              <w:left w:val="nil"/>
              <w:bottom w:val="single" w:sz="4"/>
              <w:right w:val="nil"/>
            </w:tcBorders>
          </w:tcPr>
          <w:p>
            <w:pPr>
              <w:pStyle w:val="0"/>
            </w:pPr>
            <w:r>
              <w:rPr>
                <w:sz w:val="20"/>
              </w:rPr>
            </w:r>
          </w:p>
        </w:tc>
        <w:tc>
          <w:tcPr>
            <w:tcW w:w="522" w:type="dxa"/>
            <w:tcBorders>
              <w:top w:val="nil"/>
              <w:left w:val="nil"/>
              <w:bottom w:val="nil"/>
              <w:right w:val="nil"/>
            </w:tcBorders>
          </w:tcPr>
          <w:p>
            <w:pPr>
              <w:pStyle w:val="0"/>
            </w:pPr>
            <w:r>
              <w:rPr>
                <w:sz w:val="20"/>
              </w:rPr>
            </w:r>
          </w:p>
        </w:tc>
        <w:tc>
          <w:tcPr>
            <w:tcW w:w="3061" w:type="dxa"/>
            <w:tcBorders>
              <w:top w:val="nil"/>
              <w:left w:val="nil"/>
              <w:bottom w:val="single" w:sz="4"/>
              <w:right w:val="nil"/>
            </w:tcBorders>
          </w:tcPr>
          <w:p>
            <w:pPr>
              <w:pStyle w:val="0"/>
            </w:pPr>
            <w:r>
              <w:rPr>
                <w:sz w:val="20"/>
              </w:rPr>
            </w:r>
          </w:p>
        </w:tc>
      </w:tr>
      <w:tr>
        <w:tc>
          <w:tcPr>
            <w:tcW w:w="3288" w:type="dxa"/>
            <w:tcBorders>
              <w:top w:val="single" w:sz="4"/>
              <w:left w:val="nil"/>
              <w:bottom w:val="nil"/>
              <w:right w:val="nil"/>
            </w:tcBorders>
          </w:tcPr>
          <w:p>
            <w:pPr>
              <w:pStyle w:val="0"/>
              <w:jc w:val="center"/>
            </w:pPr>
            <w:r>
              <w:rPr>
                <w:sz w:val="20"/>
              </w:rPr>
              <w:t xml:space="preserve">(руководитель организации)</w:t>
            </w:r>
          </w:p>
        </w:tc>
        <w:tc>
          <w:tcPr>
            <w:tcW w:w="522" w:type="dxa"/>
            <w:tcBorders>
              <w:top w:val="nil"/>
              <w:left w:val="nil"/>
              <w:bottom w:val="nil"/>
              <w:right w:val="nil"/>
            </w:tcBorders>
          </w:tcPr>
          <w:p>
            <w:pPr>
              <w:pStyle w:val="0"/>
            </w:pPr>
            <w:r>
              <w:rPr>
                <w:sz w:val="20"/>
              </w:rPr>
            </w:r>
          </w:p>
        </w:tc>
        <w:tc>
          <w:tcPr>
            <w:tcW w:w="1644" w:type="dxa"/>
            <w:tcBorders>
              <w:top w:val="single" w:sz="4"/>
              <w:left w:val="nil"/>
              <w:bottom w:val="nil"/>
              <w:right w:val="nil"/>
            </w:tcBorders>
          </w:tcPr>
          <w:p>
            <w:pPr>
              <w:pStyle w:val="0"/>
              <w:jc w:val="center"/>
            </w:pPr>
            <w:r>
              <w:rPr>
                <w:sz w:val="20"/>
              </w:rPr>
              <w:t xml:space="preserve">(подпись)</w:t>
            </w:r>
          </w:p>
        </w:tc>
        <w:tc>
          <w:tcPr>
            <w:tcW w:w="522" w:type="dxa"/>
            <w:tcBorders>
              <w:top w:val="nil"/>
              <w:left w:val="nil"/>
              <w:bottom w:val="nil"/>
              <w:right w:val="nil"/>
            </w:tcBorders>
          </w:tcPr>
          <w:p>
            <w:pPr>
              <w:pStyle w:val="0"/>
            </w:pPr>
            <w:r>
              <w:rPr>
                <w:sz w:val="20"/>
              </w:rPr>
            </w:r>
          </w:p>
        </w:tc>
        <w:tc>
          <w:tcPr>
            <w:tcW w:w="3061" w:type="dxa"/>
            <w:tcBorders>
              <w:top w:val="single" w:sz="4"/>
              <w:left w:val="nil"/>
              <w:bottom w:val="nil"/>
              <w:right w:val="nil"/>
            </w:tcBorders>
          </w:tcPr>
          <w:p>
            <w:pPr>
              <w:pStyle w:val="0"/>
              <w:jc w:val="center"/>
            </w:pPr>
            <w:r>
              <w:rPr>
                <w:sz w:val="20"/>
              </w:rPr>
              <w:t xml:space="preserve">(расшифровка подписи)</w:t>
            </w:r>
          </w:p>
        </w:tc>
      </w:tr>
      <w:tr>
        <w:tc>
          <w:tcPr>
            <w:gridSpan w:val="5"/>
            <w:tcW w:w="9037" w:type="dxa"/>
            <w:tcBorders>
              <w:top w:val="nil"/>
              <w:left w:val="nil"/>
              <w:bottom w:val="nil"/>
              <w:right w:val="nil"/>
            </w:tcBorders>
          </w:tcPr>
          <w:p>
            <w:pPr>
              <w:pStyle w:val="0"/>
            </w:pPr>
            <w:r>
              <w:rPr>
                <w:sz w:val="20"/>
              </w:rPr>
            </w:r>
          </w:p>
        </w:tc>
      </w:tr>
      <w:tr>
        <w:tc>
          <w:tcPr>
            <w:gridSpan w:val="5"/>
            <w:tcW w:w="9037" w:type="dxa"/>
            <w:tcBorders>
              <w:top w:val="nil"/>
              <w:left w:val="nil"/>
              <w:bottom w:val="nil"/>
              <w:right w:val="nil"/>
            </w:tcBorders>
          </w:tcPr>
          <w:p>
            <w:pPr>
              <w:pStyle w:val="0"/>
              <w:jc w:val="both"/>
            </w:pPr>
            <w:r>
              <w:rPr>
                <w:sz w:val="20"/>
              </w:rPr>
              <w:t xml:space="preserve">"__"____________ 20__ года</w:t>
            </w:r>
          </w:p>
          <w:p>
            <w:pPr>
              <w:pStyle w:val="0"/>
            </w:pPr>
            <w:r>
              <w:rPr>
                <w:sz w:val="20"/>
              </w:rPr>
            </w:r>
          </w:p>
          <w:p>
            <w:pPr>
              <w:pStyle w:val="0"/>
              <w:jc w:val="both"/>
            </w:pPr>
            <w:r>
              <w:rPr>
                <w:sz w:val="20"/>
              </w:rPr>
              <w:t xml:space="preserve">М.П.</w:t>
            </w:r>
          </w:p>
        </w:tc>
      </w:tr>
    </w:tbl>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3</w:t>
      </w:r>
    </w:p>
    <w:p>
      <w:pPr>
        <w:pStyle w:val="0"/>
        <w:jc w:val="right"/>
      </w:pPr>
      <w:r>
        <w:rPr>
          <w:sz w:val="20"/>
        </w:rPr>
        <w:t xml:space="preserve">к Порядку</w:t>
      </w:r>
    </w:p>
    <w:p>
      <w:pPr>
        <w:pStyle w:val="0"/>
        <w:jc w:val="both"/>
      </w:pPr>
      <w:r>
        <w:rPr>
          <w:sz w:val="20"/>
        </w:rPr>
      </w:r>
    </w:p>
    <w:bookmarkStart w:id="706" w:name="P706"/>
    <w:bookmarkEnd w:id="706"/>
    <w:p>
      <w:pPr>
        <w:pStyle w:val="2"/>
        <w:jc w:val="center"/>
      </w:pPr>
      <w:r>
        <w:rPr>
          <w:sz w:val="20"/>
        </w:rPr>
        <w:t xml:space="preserve">ПОЛОЖЕНИЕ</w:t>
      </w:r>
    </w:p>
    <w:p>
      <w:pPr>
        <w:pStyle w:val="2"/>
        <w:jc w:val="center"/>
      </w:pPr>
      <w:r>
        <w:rPr>
          <w:sz w:val="20"/>
        </w:rPr>
        <w:t xml:space="preserve">О КОНКУРСНОЙ КОМИССИИ ПО ОТБОРУ ПОЛУЧАТЕЛЕЙ ГРАНТОВ</w:t>
      </w:r>
    </w:p>
    <w:p>
      <w:pPr>
        <w:pStyle w:val="2"/>
        <w:jc w:val="center"/>
      </w:pPr>
      <w:r>
        <w:rPr>
          <w:sz w:val="20"/>
        </w:rPr>
        <w:t xml:space="preserve">НА ПОДДЕРЖКУ ДОБРОВОЛЬЧЕСТВА НА ТЕРРИТОРИИ</w:t>
      </w:r>
    </w:p>
    <w:p>
      <w:pPr>
        <w:pStyle w:val="2"/>
        <w:jc w:val="center"/>
      </w:pPr>
      <w:r>
        <w:rPr>
          <w:sz w:val="20"/>
        </w:rPr>
        <w:t xml:space="preserve">ВОЛОГОДСКОЙ ОБЛАСТИ (ДАЛЕЕ - ПОЛОЖЕНИЕ)</w:t>
      </w:r>
    </w:p>
    <w:p>
      <w:pPr>
        <w:pStyle w:val="0"/>
        <w:jc w:val="both"/>
      </w:pPr>
      <w:r>
        <w:rPr>
          <w:sz w:val="20"/>
        </w:rPr>
      </w:r>
    </w:p>
    <w:p>
      <w:pPr>
        <w:pStyle w:val="0"/>
        <w:ind w:firstLine="540"/>
        <w:jc w:val="both"/>
      </w:pPr>
      <w:r>
        <w:rPr>
          <w:sz w:val="20"/>
        </w:rPr>
        <w:t xml:space="preserve">1. В целях проведения конкурса поддержки добровольчества на территории Вологодской области, предусмотренного Порядком предоставления грантов на поддержку добровольчества на территории Вологодской области, создается конкурсная комиссия по отбору получателей грантов на поддержку добровольчества на территории Вологодской области (далее - конкурсная комиссия).</w:t>
      </w:r>
    </w:p>
    <w:p>
      <w:pPr>
        <w:pStyle w:val="0"/>
        <w:spacing w:before="200" w:lineRule="auto"/>
        <w:ind w:firstLine="540"/>
        <w:jc w:val="both"/>
      </w:pPr>
      <w:r>
        <w:rPr>
          <w:sz w:val="20"/>
        </w:rPr>
        <w:t xml:space="preserve">Конкурсная комиссия осуществляет следующие полномочия:</w:t>
      </w:r>
    </w:p>
    <w:p>
      <w:pPr>
        <w:pStyle w:val="0"/>
        <w:spacing w:before="200" w:lineRule="auto"/>
        <w:ind w:firstLine="540"/>
        <w:jc w:val="both"/>
      </w:pPr>
      <w:r>
        <w:rPr>
          <w:sz w:val="20"/>
        </w:rPr>
        <w:t xml:space="preserve">рассматривает и оценивает заявки на участие в конкурсе;</w:t>
      </w:r>
    </w:p>
    <w:p>
      <w:pPr>
        <w:pStyle w:val="0"/>
        <w:spacing w:before="200" w:lineRule="auto"/>
        <w:ind w:firstLine="540"/>
        <w:jc w:val="both"/>
      </w:pPr>
      <w:r>
        <w:rPr>
          <w:sz w:val="20"/>
        </w:rPr>
        <w:t xml:space="preserve">определяет результаты конкурса посредством утверждения рейтинга заявок на участие в конкурсе, прошедших оценку, и дает предложения о распределении средств грантов.</w:t>
      </w:r>
    </w:p>
    <w:p>
      <w:pPr>
        <w:pStyle w:val="0"/>
        <w:spacing w:before="200" w:lineRule="auto"/>
        <w:ind w:firstLine="540"/>
        <w:jc w:val="both"/>
      </w:pPr>
      <w:r>
        <w:rPr>
          <w:sz w:val="20"/>
        </w:rPr>
        <w:t xml:space="preserve">2. Конкурсная комиссия является коллегиальным органом. В состав конкурсной комиссии входят председатель комиссии, секретарь комиссии и иные члены комиссии.</w:t>
      </w:r>
    </w:p>
    <w:p>
      <w:pPr>
        <w:pStyle w:val="0"/>
        <w:spacing w:before="200" w:lineRule="auto"/>
        <w:ind w:firstLine="540"/>
        <w:jc w:val="both"/>
      </w:pPr>
      <w:r>
        <w:rPr>
          <w:sz w:val="20"/>
        </w:rPr>
        <w:t xml:space="preserve">В состав конкурсной комиссии включаются представители исполнительных органов области; некоммерческих и иных организаций; инициативные граждане, обладающие признанной высокой квалификацией и уровнем экспертности по направлениям молодежной политики и развитию добровольческого движения. В состав конкурсной комиссии также могут быть включены представители органов местного самоуправления.</w:t>
      </w:r>
    </w:p>
    <w:p>
      <w:pPr>
        <w:pStyle w:val="0"/>
        <w:spacing w:before="200" w:lineRule="auto"/>
        <w:ind w:firstLine="540"/>
        <w:jc w:val="both"/>
      </w:pPr>
      <w:r>
        <w:rPr>
          <w:sz w:val="20"/>
        </w:rPr>
        <w:t xml:space="preserve">Число членов конкурсной комиссии должно быть нечетным и составлять не менее 7 человек.</w:t>
      </w:r>
    </w:p>
    <w:p>
      <w:pPr>
        <w:pStyle w:val="0"/>
        <w:spacing w:before="200" w:lineRule="auto"/>
        <w:ind w:firstLine="540"/>
        <w:jc w:val="both"/>
      </w:pPr>
      <w:r>
        <w:rPr>
          <w:sz w:val="20"/>
        </w:rPr>
        <w:t xml:space="preserve">Число членов конкурсной комиссии, замещающих государственные должности области, должности государственной гражданской службы области, муниципальные должности, должности муниципальной службы, должно быть не более одной второй от общего числа членов конкурсной комиссии.</w:t>
      </w:r>
    </w:p>
    <w:p>
      <w:pPr>
        <w:pStyle w:val="0"/>
        <w:spacing w:before="200" w:lineRule="auto"/>
        <w:ind w:firstLine="540"/>
        <w:jc w:val="both"/>
      </w:pPr>
      <w:r>
        <w:rPr>
          <w:sz w:val="20"/>
        </w:rPr>
        <w:t xml:space="preserve">3. Персональный состав конкурсной комиссии утверждается правовым актом Министерства молодежной политики области. Состав конкурсной комиссии не разглашается.</w:t>
      </w:r>
    </w:p>
    <w:p>
      <w:pPr>
        <w:pStyle w:val="0"/>
        <w:spacing w:before="200" w:lineRule="auto"/>
        <w:ind w:firstLine="540"/>
        <w:jc w:val="both"/>
      </w:pPr>
      <w:r>
        <w:rPr>
          <w:sz w:val="20"/>
        </w:rPr>
        <w:t xml:space="preserve">4. Доступ членам конкурсной комиссии в системе "Электронный бюджет" к заявкам для их рассмотрения и оценки открывается уполномоченным органом в даты размещения протокола рассмотрения заявок.</w:t>
      </w:r>
    </w:p>
    <w:p>
      <w:pPr>
        <w:pStyle w:val="0"/>
        <w:spacing w:before="200" w:lineRule="auto"/>
        <w:ind w:firstLine="540"/>
        <w:jc w:val="both"/>
      </w:pPr>
      <w:r>
        <w:rPr>
          <w:sz w:val="20"/>
        </w:rPr>
        <w:t xml:space="preserve">5. Председатель конкурсной комиссии организует работу конкурсной комиссии, распределяет обязанности между членами конкурсной комиссии.</w:t>
      </w:r>
    </w:p>
    <w:p>
      <w:pPr>
        <w:pStyle w:val="0"/>
        <w:spacing w:before="200" w:lineRule="auto"/>
        <w:ind w:firstLine="540"/>
        <w:jc w:val="both"/>
      </w:pPr>
      <w:r>
        <w:rPr>
          <w:sz w:val="20"/>
        </w:rPr>
        <w:t xml:space="preserve">6. Секретарь конкурсной комиссии оповещает членов конкурсной комиссии о времени и месте заседания конкурсной комиссии, ведет протоколы заседаний конкурсной комиссии.</w:t>
      </w:r>
    </w:p>
    <w:p>
      <w:pPr>
        <w:pStyle w:val="0"/>
        <w:spacing w:before="200" w:lineRule="auto"/>
        <w:ind w:firstLine="540"/>
        <w:jc w:val="both"/>
      </w:pPr>
      <w:r>
        <w:rPr>
          <w:sz w:val="20"/>
        </w:rPr>
        <w:t xml:space="preserve">В случае отсутствия секретаря конкурсной комиссии протокол ведет член конкурсной комиссии по поручению председательствующего на заседании конкурсной комиссии.</w:t>
      </w:r>
    </w:p>
    <w:p>
      <w:pPr>
        <w:pStyle w:val="0"/>
        <w:spacing w:before="200" w:lineRule="auto"/>
        <w:ind w:firstLine="540"/>
        <w:jc w:val="both"/>
      </w:pPr>
      <w:r>
        <w:rPr>
          <w:sz w:val="20"/>
        </w:rPr>
        <w:t xml:space="preserve">7. Члены конкурсной комиссии работают на общественных началах и принимают личное участие в ее работе.</w:t>
      </w:r>
    </w:p>
    <w:p>
      <w:pPr>
        <w:pStyle w:val="0"/>
        <w:spacing w:before="200" w:lineRule="auto"/>
        <w:ind w:firstLine="540"/>
        <w:jc w:val="both"/>
      </w:pPr>
      <w:r>
        <w:rPr>
          <w:sz w:val="20"/>
        </w:rPr>
        <w:t xml:space="preserve">8. Формой работы конкурсной комиссии является ее заседание в очном или дистанционном формате.</w:t>
      </w:r>
    </w:p>
    <w:p>
      <w:pPr>
        <w:pStyle w:val="0"/>
        <w:spacing w:before="200" w:lineRule="auto"/>
        <w:ind w:firstLine="540"/>
        <w:jc w:val="both"/>
      </w:pPr>
      <w:r>
        <w:rPr>
          <w:sz w:val="20"/>
        </w:rPr>
        <w:t xml:space="preserve">Заседание конкурсной комиссии может также проводиться в заочном формате при рассмотрении заявлений о необходимости изменений перечня затрат.</w:t>
      </w:r>
    </w:p>
    <w:p>
      <w:pPr>
        <w:pStyle w:val="0"/>
        <w:spacing w:before="200" w:lineRule="auto"/>
        <w:ind w:firstLine="540"/>
        <w:jc w:val="both"/>
      </w:pPr>
      <w:r>
        <w:rPr>
          <w:sz w:val="20"/>
        </w:rPr>
        <w:t xml:space="preserve">9. Заседание конкурсной комиссии считается правомочным, если на нем присутствует большинство от установленного числа членов конкурсной комиссии.</w:t>
      </w:r>
    </w:p>
    <w:p>
      <w:pPr>
        <w:pStyle w:val="0"/>
        <w:spacing w:before="200" w:lineRule="auto"/>
        <w:ind w:firstLine="540"/>
        <w:jc w:val="both"/>
      </w:pPr>
      <w:r>
        <w:rPr>
          <w:sz w:val="20"/>
        </w:rPr>
        <w:t xml:space="preserve">10. Решения конкурсной комиссии принимаются простым большинством голосов присутствующих на заседании конкурсной комиссии путем открытого голосования и оформляются протоколом. При равном количестве голосов голос председательствующего на заседании конкурсной комиссии является решающим.</w:t>
      </w:r>
    </w:p>
    <w:p>
      <w:pPr>
        <w:pStyle w:val="0"/>
        <w:spacing w:before="200" w:lineRule="auto"/>
        <w:ind w:firstLine="540"/>
        <w:jc w:val="both"/>
      </w:pPr>
      <w:r>
        <w:rPr>
          <w:sz w:val="20"/>
        </w:rPr>
        <w:t xml:space="preserve">11. Протокол заседания конкурсной комиссии подписывается председателем конкурсной комиссии и секретарем конкурсной комиссии.</w:t>
      </w:r>
    </w:p>
    <w:p>
      <w:pPr>
        <w:pStyle w:val="0"/>
        <w:spacing w:before="200" w:lineRule="auto"/>
        <w:ind w:firstLine="540"/>
        <w:jc w:val="both"/>
      </w:pPr>
      <w:r>
        <w:rPr>
          <w:sz w:val="20"/>
        </w:rPr>
        <w:t xml:space="preserve">В случае проведения заседания конкурсной комиссии в заочном формате в соответствии с протоколом заседания конкурсной комиссии подписывается председателем конкурсной комиссии и секретарем конкурсной комиссии; к протоколу прикладываются документы, подтверждающие выражение мнений членов конкурсной комиссии по каждому из рассматриваемых вопросов.</w:t>
      </w:r>
    </w:p>
    <w:p>
      <w:pPr>
        <w:pStyle w:val="0"/>
        <w:spacing w:before="200" w:lineRule="auto"/>
        <w:ind w:firstLine="540"/>
        <w:jc w:val="both"/>
      </w:pPr>
      <w:r>
        <w:rPr>
          <w:sz w:val="20"/>
        </w:rPr>
        <w:t xml:space="preserve">12. В случае если член конкурсной комиссии лично (прямо или косвенно) заинтересован в итогах конкурса или имеются иные обстоятельства, способные повлиять на участие члена конкурсной комиссии в работе конкурсной комиссии, он обязан проинформировать об этом конкурсную комиссию до начала рассмотрения заявок на участие в конкурсе. Данная информация отражается в протоколе заседания конкурсной комиссии.</w:t>
      </w:r>
    </w:p>
    <w:p>
      <w:pPr>
        <w:pStyle w:val="0"/>
        <w:spacing w:before="200" w:lineRule="auto"/>
        <w:ind w:firstLine="540"/>
        <w:jc w:val="both"/>
      </w:pPr>
      <w:r>
        <w:rPr>
          <w:sz w:val="20"/>
        </w:rPr>
        <w:t xml:space="preserve">13. Член конкурсной комиссии при рассмотрении и оценке заявок на участие в конкурсе не вправе вступать в контакты с участниками конкурса, подавшими заявки на участие в конкурсе, в том числе обсуждать с ними поданные ими заявки на участие в конкурсе, напрямую запрашивать документы, информацию и (или) пояснения.</w:t>
      </w:r>
    </w:p>
    <w:p>
      <w:pPr>
        <w:pStyle w:val="0"/>
        <w:spacing w:before="200" w:lineRule="auto"/>
        <w:ind w:firstLine="540"/>
        <w:jc w:val="both"/>
      </w:pPr>
      <w:r>
        <w:rPr>
          <w:sz w:val="20"/>
        </w:rPr>
        <w:t xml:space="preserve">Член конкурсной комиссии не вправе рассматривать заявку на участие в конкурсе физического лица, если имеются обстоятельства, дающие основание полагать, что эксперт лично, прямо или косвенно заинтересован в результатах рассмотрения заявки на участие в конкурсе.</w:t>
      </w:r>
    </w:p>
    <w:p>
      <w:pPr>
        <w:pStyle w:val="0"/>
        <w:spacing w:before="200" w:lineRule="auto"/>
        <w:ind w:firstLine="540"/>
        <w:jc w:val="both"/>
      </w:pPr>
      <w:r>
        <w:rPr>
          <w:sz w:val="20"/>
        </w:rPr>
        <w:t xml:space="preserve">14. Член конкурсной комиссии в случае несогласия с решением конкурсной комиссии имеет право письменно выразить особое мнение, которое приобщается к протоколу заседания комиссии.</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4</w:t>
      </w:r>
    </w:p>
    <w:p>
      <w:pPr>
        <w:pStyle w:val="0"/>
        <w:jc w:val="right"/>
      </w:pPr>
      <w:r>
        <w:rPr>
          <w:sz w:val="20"/>
        </w:rPr>
        <w:t xml:space="preserve">к Порядку</w:t>
      </w:r>
    </w:p>
    <w:p>
      <w:pPr>
        <w:pStyle w:val="0"/>
        <w:jc w:val="both"/>
      </w:pPr>
      <w:r>
        <w:rPr>
          <w:sz w:val="20"/>
        </w:rPr>
      </w:r>
    </w:p>
    <w:p>
      <w:pPr>
        <w:pStyle w:val="0"/>
        <w:jc w:val="right"/>
      </w:pPr>
      <w:r>
        <w:rPr>
          <w:sz w:val="20"/>
        </w:rPr>
        <w:t xml:space="preserve">Форма</w:t>
      </w:r>
    </w:p>
    <w:p>
      <w:pPr>
        <w:pStyle w:val="0"/>
        <w:jc w:val="both"/>
      </w:pPr>
      <w:r>
        <w:rPr>
          <w:sz w:val="20"/>
        </w:rPr>
      </w:r>
    </w:p>
    <w:tbl>
      <w:tblPr>
        <w:tblInd w:w="0" w:type="dxa"/>
        <w:tblLayout w:type="fixed"/>
        <w:tblCellMar>
          <w:top w:w="102" w:type="dxa"/>
          <w:left w:w="62" w:type="dxa"/>
          <w:bottom w:w="102" w:type="dxa"/>
          <w:right w:w="62" w:type="dxa"/>
        </w:tblCellMar>
      </w:tblPr>
      <w:tblGrid>
        <w:gridCol w:w="9071"/>
      </w:tblGrid>
      <w:tr>
        <w:tc>
          <w:tcPr>
            <w:tcW w:w="9071" w:type="dxa"/>
            <w:tcBorders>
              <w:top w:val="nil"/>
              <w:left w:val="nil"/>
              <w:bottom w:val="nil"/>
              <w:right w:val="nil"/>
            </w:tcBorders>
          </w:tcPr>
          <w:bookmarkStart w:id="745" w:name="P745"/>
          <w:bookmarkEnd w:id="745"/>
          <w:p>
            <w:pPr>
              <w:pStyle w:val="0"/>
              <w:jc w:val="center"/>
            </w:pPr>
            <w:r>
              <w:rPr>
                <w:sz w:val="20"/>
              </w:rPr>
              <w:t xml:space="preserve">ОТЧЕТ</w:t>
            </w:r>
          </w:p>
          <w:p>
            <w:pPr>
              <w:pStyle w:val="0"/>
              <w:jc w:val="center"/>
            </w:pPr>
            <w:r>
              <w:rPr>
                <w:sz w:val="20"/>
              </w:rPr>
              <w:t xml:space="preserve">об использовании предоставленного гранта</w:t>
            </w:r>
          </w:p>
          <w:p>
            <w:pPr>
              <w:pStyle w:val="0"/>
              <w:jc w:val="center"/>
            </w:pPr>
            <w:r>
              <w:rPr>
                <w:sz w:val="20"/>
              </w:rPr>
              <w:t xml:space="preserve">для поддержки инфраструктуры добровольчества</w:t>
            </w:r>
          </w:p>
          <w:p>
            <w:pPr>
              <w:pStyle w:val="0"/>
              <w:jc w:val="center"/>
            </w:pPr>
            <w:r>
              <w:rPr>
                <w:sz w:val="20"/>
              </w:rPr>
              <w:t xml:space="preserve">на территории Вологодской области</w:t>
            </w:r>
          </w:p>
        </w:tc>
      </w:tr>
    </w:tbl>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10"/>
        <w:gridCol w:w="3196"/>
        <w:gridCol w:w="1020"/>
        <w:gridCol w:w="1134"/>
        <w:gridCol w:w="3175"/>
      </w:tblGrid>
      <w:tr>
        <w:tc>
          <w:tcPr>
            <w:tcW w:w="510" w:type="dxa"/>
          </w:tcPr>
          <w:p>
            <w:pPr>
              <w:pStyle w:val="0"/>
            </w:pPr>
            <w:r>
              <w:rPr>
                <w:sz w:val="20"/>
              </w:rPr>
              <w:t xml:space="preserve">1.</w:t>
            </w:r>
          </w:p>
        </w:tc>
        <w:tc>
          <w:tcPr>
            <w:gridSpan w:val="2"/>
            <w:tcW w:w="4216" w:type="dxa"/>
          </w:tcPr>
          <w:p>
            <w:pPr>
              <w:pStyle w:val="0"/>
            </w:pPr>
            <w:r>
              <w:rPr>
                <w:sz w:val="20"/>
              </w:rPr>
              <w:t xml:space="preserve">Полное наименование Добро.Центра - получателя гранта, в том числе организационно-правовая форма, в соответствии с учредительными документами</w:t>
            </w:r>
          </w:p>
        </w:tc>
        <w:tc>
          <w:tcPr>
            <w:gridSpan w:val="2"/>
            <w:tcW w:w="4309" w:type="dxa"/>
          </w:tcPr>
          <w:p>
            <w:pPr>
              <w:pStyle w:val="0"/>
            </w:pPr>
            <w:r>
              <w:rPr>
                <w:sz w:val="20"/>
              </w:rPr>
            </w:r>
          </w:p>
        </w:tc>
      </w:tr>
      <w:tr>
        <w:tc>
          <w:tcPr>
            <w:tcW w:w="510" w:type="dxa"/>
            <w:vMerge w:val="restart"/>
          </w:tcPr>
          <w:p>
            <w:pPr>
              <w:pStyle w:val="0"/>
            </w:pPr>
            <w:r>
              <w:rPr>
                <w:sz w:val="20"/>
              </w:rPr>
              <w:t xml:space="preserve">2.</w:t>
            </w:r>
          </w:p>
        </w:tc>
        <w:tc>
          <w:tcPr>
            <w:tcW w:w="3196" w:type="dxa"/>
            <w:vMerge w:val="restart"/>
          </w:tcPr>
          <w:p>
            <w:pPr>
              <w:pStyle w:val="0"/>
            </w:pPr>
            <w:r>
              <w:rPr>
                <w:sz w:val="20"/>
              </w:rPr>
              <w:t xml:space="preserve">Даты начала и окончания периода использования средств гранта в соответствии с договором</w:t>
            </w:r>
          </w:p>
        </w:tc>
        <w:tc>
          <w:tcPr>
            <w:gridSpan w:val="2"/>
            <w:tcW w:w="2154" w:type="dxa"/>
          </w:tcPr>
          <w:p>
            <w:pPr>
              <w:pStyle w:val="0"/>
            </w:pPr>
            <w:r>
              <w:rPr>
                <w:sz w:val="20"/>
              </w:rPr>
            </w:r>
          </w:p>
        </w:tc>
        <w:tc>
          <w:tcPr>
            <w:tcW w:w="3175" w:type="dxa"/>
          </w:tcPr>
          <w:p>
            <w:pPr>
              <w:pStyle w:val="0"/>
            </w:pPr>
            <w:r>
              <w:rPr>
                <w:sz w:val="20"/>
              </w:rPr>
            </w:r>
          </w:p>
        </w:tc>
      </w:tr>
      <w:tr>
        <w:tc>
          <w:tcPr>
            <w:vMerge w:val="continue"/>
          </w:tcPr>
          <w:p/>
        </w:tc>
        <w:tc>
          <w:tcPr>
            <w:vMerge w:val="continue"/>
          </w:tcPr>
          <w:p/>
        </w:tc>
        <w:tc>
          <w:tcPr>
            <w:gridSpan w:val="2"/>
            <w:tcW w:w="2154" w:type="dxa"/>
          </w:tcPr>
          <w:p>
            <w:pPr>
              <w:pStyle w:val="0"/>
              <w:jc w:val="center"/>
            </w:pPr>
            <w:r>
              <w:rPr>
                <w:sz w:val="20"/>
              </w:rPr>
              <w:t xml:space="preserve">дд/мм/гг начала</w:t>
            </w:r>
          </w:p>
        </w:tc>
        <w:tc>
          <w:tcPr>
            <w:tcW w:w="3175" w:type="dxa"/>
          </w:tcPr>
          <w:p>
            <w:pPr>
              <w:pStyle w:val="0"/>
              <w:jc w:val="center"/>
            </w:pPr>
            <w:r>
              <w:rPr>
                <w:sz w:val="20"/>
              </w:rPr>
              <w:t xml:space="preserve">дд/мм/гг окончания</w:t>
            </w:r>
          </w:p>
        </w:tc>
      </w:tr>
      <w:tr>
        <w:tc>
          <w:tcPr>
            <w:tcW w:w="510" w:type="dxa"/>
            <w:vMerge w:val="restart"/>
          </w:tcPr>
          <w:p>
            <w:pPr>
              <w:pStyle w:val="0"/>
            </w:pPr>
            <w:r>
              <w:rPr>
                <w:sz w:val="20"/>
              </w:rPr>
              <w:t xml:space="preserve">3.</w:t>
            </w:r>
          </w:p>
        </w:tc>
        <w:tc>
          <w:tcPr>
            <w:gridSpan w:val="2"/>
            <w:tcW w:w="4216" w:type="dxa"/>
            <w:vMerge w:val="restart"/>
          </w:tcPr>
          <w:p>
            <w:pPr>
              <w:pStyle w:val="0"/>
            </w:pPr>
            <w:r>
              <w:rPr>
                <w:sz w:val="20"/>
              </w:rPr>
              <w:t xml:space="preserve">Руководитель организации</w:t>
            </w:r>
          </w:p>
        </w:tc>
        <w:tc>
          <w:tcPr>
            <w:gridSpan w:val="2"/>
            <w:tcW w:w="4309" w:type="dxa"/>
          </w:tcPr>
          <w:p>
            <w:pPr>
              <w:pStyle w:val="0"/>
            </w:pPr>
            <w:r>
              <w:rPr>
                <w:sz w:val="20"/>
              </w:rPr>
            </w:r>
          </w:p>
        </w:tc>
      </w:tr>
      <w:tr>
        <w:tc>
          <w:tcPr>
            <w:vMerge w:val="continue"/>
          </w:tcPr>
          <w:p/>
        </w:tc>
        <w:tc>
          <w:tcPr>
            <w:gridSpan w:val="2"/>
            <w:vMerge w:val="continue"/>
          </w:tcPr>
          <w:p/>
        </w:tc>
        <w:tc>
          <w:tcPr>
            <w:gridSpan w:val="2"/>
            <w:tcW w:w="4309" w:type="dxa"/>
          </w:tcPr>
          <w:p>
            <w:pPr>
              <w:pStyle w:val="0"/>
              <w:jc w:val="center"/>
            </w:pPr>
            <w:r>
              <w:rPr>
                <w:sz w:val="20"/>
              </w:rPr>
              <w:t xml:space="preserve">(должность, фамилия, имя, отчество)</w:t>
            </w:r>
          </w:p>
        </w:tc>
      </w:tr>
      <w:tr>
        <w:tc>
          <w:tcPr>
            <w:tcW w:w="510" w:type="dxa"/>
          </w:tcPr>
          <w:p>
            <w:pPr>
              <w:pStyle w:val="0"/>
            </w:pPr>
            <w:r>
              <w:rPr>
                <w:sz w:val="20"/>
              </w:rPr>
              <w:t xml:space="preserve">4.</w:t>
            </w:r>
          </w:p>
        </w:tc>
        <w:tc>
          <w:tcPr>
            <w:gridSpan w:val="2"/>
            <w:tcW w:w="4216" w:type="dxa"/>
          </w:tcPr>
          <w:p>
            <w:pPr>
              <w:pStyle w:val="0"/>
            </w:pPr>
            <w:r>
              <w:rPr>
                <w:sz w:val="20"/>
              </w:rPr>
              <w:t xml:space="preserve">Адрес местонахождения организации</w:t>
            </w:r>
          </w:p>
        </w:tc>
        <w:tc>
          <w:tcPr>
            <w:gridSpan w:val="2"/>
            <w:tcW w:w="4309" w:type="dxa"/>
          </w:tcPr>
          <w:p>
            <w:pPr>
              <w:pStyle w:val="0"/>
            </w:pPr>
            <w:r>
              <w:rPr>
                <w:sz w:val="20"/>
              </w:rPr>
            </w:r>
          </w:p>
        </w:tc>
      </w:tr>
      <w:tr>
        <w:tc>
          <w:tcPr>
            <w:tcW w:w="510" w:type="dxa"/>
          </w:tcPr>
          <w:p>
            <w:pPr>
              <w:pStyle w:val="0"/>
            </w:pPr>
            <w:r>
              <w:rPr>
                <w:sz w:val="20"/>
              </w:rPr>
              <w:t xml:space="preserve">5.</w:t>
            </w:r>
          </w:p>
        </w:tc>
        <w:tc>
          <w:tcPr>
            <w:gridSpan w:val="2"/>
            <w:tcW w:w="4216" w:type="dxa"/>
          </w:tcPr>
          <w:p>
            <w:pPr>
              <w:pStyle w:val="0"/>
            </w:pPr>
            <w:r>
              <w:rPr>
                <w:sz w:val="20"/>
              </w:rPr>
              <w:t xml:space="preserve">Контактные телефоны организации и исполнителя отчета</w:t>
            </w:r>
          </w:p>
        </w:tc>
        <w:tc>
          <w:tcPr>
            <w:gridSpan w:val="2"/>
            <w:tcW w:w="4309" w:type="dxa"/>
          </w:tcPr>
          <w:p>
            <w:pPr>
              <w:pStyle w:val="0"/>
            </w:pPr>
            <w:r>
              <w:rPr>
                <w:sz w:val="20"/>
              </w:rPr>
            </w:r>
          </w:p>
        </w:tc>
      </w:tr>
      <w:tr>
        <w:tc>
          <w:tcPr>
            <w:tcW w:w="510" w:type="dxa"/>
          </w:tcPr>
          <w:p>
            <w:pPr>
              <w:pStyle w:val="0"/>
            </w:pPr>
            <w:r>
              <w:rPr>
                <w:sz w:val="20"/>
              </w:rPr>
              <w:t xml:space="preserve">6.</w:t>
            </w:r>
          </w:p>
        </w:tc>
        <w:tc>
          <w:tcPr>
            <w:gridSpan w:val="2"/>
            <w:tcW w:w="4216" w:type="dxa"/>
          </w:tcPr>
          <w:p>
            <w:pPr>
              <w:pStyle w:val="0"/>
            </w:pPr>
            <w:r>
              <w:rPr>
                <w:sz w:val="20"/>
              </w:rPr>
              <w:t xml:space="preserve">Электронная почта организации и исполнителя отчета</w:t>
            </w:r>
          </w:p>
        </w:tc>
        <w:tc>
          <w:tcPr>
            <w:gridSpan w:val="2"/>
            <w:tcW w:w="4309" w:type="dxa"/>
          </w:tcPr>
          <w:p>
            <w:pPr>
              <w:pStyle w:val="0"/>
            </w:pPr>
            <w:r>
              <w:rPr>
                <w:sz w:val="20"/>
              </w:rPr>
            </w:r>
          </w:p>
        </w:tc>
      </w:tr>
      <w:tr>
        <w:tc>
          <w:tcPr>
            <w:tcW w:w="510" w:type="dxa"/>
            <w:vMerge w:val="restart"/>
          </w:tcPr>
          <w:p>
            <w:pPr>
              <w:pStyle w:val="0"/>
            </w:pPr>
            <w:r>
              <w:rPr>
                <w:sz w:val="20"/>
              </w:rPr>
              <w:t xml:space="preserve">7.</w:t>
            </w:r>
          </w:p>
        </w:tc>
        <w:tc>
          <w:tcPr>
            <w:gridSpan w:val="2"/>
            <w:tcW w:w="4216" w:type="dxa"/>
            <w:vMerge w:val="restart"/>
          </w:tcPr>
          <w:p>
            <w:pPr>
              <w:pStyle w:val="0"/>
            </w:pPr>
            <w:r>
              <w:rPr>
                <w:sz w:val="20"/>
              </w:rPr>
              <w:t xml:space="preserve">Реквизиты договора о предоставлении из областного бюджета субсидии организации, не являющейся государственным (муниципальным) учреждением</w:t>
            </w:r>
          </w:p>
        </w:tc>
        <w:tc>
          <w:tcPr>
            <w:gridSpan w:val="2"/>
            <w:tcW w:w="4309" w:type="dxa"/>
            <w:vAlign w:val="bottom"/>
            <w:tcBorders>
              <w:bottom w:val="nil"/>
            </w:tcBorders>
          </w:tcPr>
          <w:p>
            <w:pPr>
              <w:pStyle w:val="0"/>
            </w:pPr>
            <w:r>
              <w:rPr>
                <w:sz w:val="20"/>
              </w:rPr>
              <w:t xml:space="preserve">N ________ от ___________ 20__ г.</w:t>
            </w:r>
          </w:p>
        </w:tc>
      </w:tr>
      <w:tr>
        <w:tblPrEx>
          <w:tblBorders>
            <w:insideH w:val="nil"/>
          </w:tblBorders>
        </w:tblPrEx>
        <w:tc>
          <w:tcPr>
            <w:vMerge w:val="continue"/>
          </w:tcPr>
          <w:p/>
        </w:tc>
        <w:tc>
          <w:tcPr>
            <w:gridSpan w:val="2"/>
            <w:vMerge w:val="continue"/>
          </w:tcPr>
          <w:p/>
        </w:tc>
        <w:tc>
          <w:tcPr>
            <w:gridSpan w:val="2"/>
            <w:tcW w:w="4309" w:type="dxa"/>
            <w:tcBorders>
              <w:top w:val="nil"/>
            </w:tcBorders>
          </w:tcPr>
          <w:p>
            <w:pPr>
              <w:pStyle w:val="0"/>
            </w:pPr>
            <w:r>
              <w:rPr>
                <w:sz w:val="20"/>
              </w:rPr>
            </w:r>
          </w:p>
        </w:tc>
      </w:tr>
    </w:tbl>
    <w:p>
      <w:pPr>
        <w:pStyle w:val="0"/>
        <w:jc w:val="both"/>
      </w:pPr>
      <w:r>
        <w:rPr>
          <w:sz w:val="20"/>
        </w:rPr>
      </w:r>
    </w:p>
    <w:tbl>
      <w:tblPr>
        <w:tblInd w:w="0" w:type="dxa"/>
        <w:tblLayout w:type="fixed"/>
        <w:tblCellMar>
          <w:top w:w="102" w:type="dxa"/>
          <w:left w:w="62" w:type="dxa"/>
          <w:bottom w:w="102" w:type="dxa"/>
          <w:right w:w="62" w:type="dxa"/>
        </w:tblCellMar>
      </w:tblPr>
      <w:tblGrid>
        <w:gridCol w:w="9071"/>
      </w:tblGrid>
      <w:tr>
        <w:tc>
          <w:tcPr>
            <w:tcW w:w="9071" w:type="dxa"/>
            <w:tcBorders>
              <w:top w:val="nil"/>
              <w:left w:val="nil"/>
              <w:bottom w:val="nil"/>
              <w:right w:val="nil"/>
            </w:tcBorders>
          </w:tcPr>
          <w:p>
            <w:pPr>
              <w:pStyle w:val="0"/>
              <w:outlineLvl w:val="2"/>
              <w:ind w:firstLine="283"/>
              <w:jc w:val="both"/>
            </w:pPr>
            <w:r>
              <w:rPr>
                <w:sz w:val="20"/>
              </w:rPr>
              <w:t xml:space="preserve">1. Сведения об использовании предоставленного гранта:</w:t>
            </w:r>
          </w:p>
          <w:p>
            <w:pPr>
              <w:pStyle w:val="0"/>
            </w:pPr>
            <w:r>
              <w:rPr>
                <w:sz w:val="20"/>
              </w:rPr>
            </w:r>
          </w:p>
          <w:p>
            <w:pPr>
              <w:pStyle w:val="0"/>
              <w:outlineLvl w:val="3"/>
              <w:ind w:firstLine="283"/>
              <w:jc w:val="both"/>
            </w:pPr>
            <w:r>
              <w:rPr>
                <w:sz w:val="20"/>
              </w:rPr>
              <w:t xml:space="preserve">Описание мероприятий, реализованных в период использования гранта</w:t>
            </w:r>
          </w:p>
        </w:tc>
      </w:tr>
    </w:tbl>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4762"/>
        <w:gridCol w:w="4252"/>
      </w:tblGrid>
      <w:tr>
        <w:tc>
          <w:tcPr>
            <w:tcW w:w="4762" w:type="dxa"/>
          </w:tcPr>
          <w:p>
            <w:pPr>
              <w:pStyle w:val="0"/>
            </w:pPr>
            <w:r>
              <w:rPr>
                <w:sz w:val="20"/>
              </w:rPr>
              <w:t xml:space="preserve">Наименование запланированного мероприятия с указанием сроков проведения в соответствии с перечнем мероприятий</w:t>
            </w:r>
          </w:p>
        </w:tc>
        <w:tc>
          <w:tcPr>
            <w:tcW w:w="4252" w:type="dxa"/>
          </w:tcPr>
          <w:p>
            <w:pPr>
              <w:pStyle w:val="0"/>
            </w:pPr>
            <w:r>
              <w:rPr>
                <w:sz w:val="20"/>
              </w:rPr>
              <w:t xml:space="preserve">Информация о проведении мероприятия с указанием сроков проведения (дата) и места проведения, результатами реализации</w:t>
            </w:r>
          </w:p>
        </w:tc>
      </w:tr>
      <w:tr>
        <w:tc>
          <w:tcPr>
            <w:tcW w:w="4762" w:type="dxa"/>
          </w:tcPr>
          <w:p>
            <w:pPr>
              <w:pStyle w:val="0"/>
            </w:pPr>
            <w:r>
              <w:rPr>
                <w:sz w:val="20"/>
              </w:rPr>
            </w:r>
          </w:p>
        </w:tc>
        <w:tc>
          <w:tcPr>
            <w:tcW w:w="4252" w:type="dxa"/>
          </w:tcPr>
          <w:p>
            <w:pPr>
              <w:pStyle w:val="0"/>
            </w:pPr>
            <w:r>
              <w:rPr>
                <w:sz w:val="20"/>
              </w:rPr>
            </w:r>
          </w:p>
        </w:tc>
      </w:tr>
      <w:tr>
        <w:tc>
          <w:tcPr>
            <w:tcW w:w="4762" w:type="dxa"/>
          </w:tcPr>
          <w:p>
            <w:pPr>
              <w:pStyle w:val="0"/>
            </w:pPr>
            <w:r>
              <w:rPr>
                <w:sz w:val="20"/>
              </w:rPr>
              <w:t xml:space="preserve">Что приобретено на выделенные средства?</w:t>
            </w:r>
          </w:p>
        </w:tc>
        <w:tc>
          <w:tcPr>
            <w:tcW w:w="4252" w:type="dxa"/>
          </w:tcPr>
          <w:p>
            <w:pPr>
              <w:pStyle w:val="0"/>
            </w:pPr>
            <w:r>
              <w:rPr>
                <w:sz w:val="20"/>
              </w:rPr>
            </w:r>
          </w:p>
        </w:tc>
      </w:tr>
      <w:tr>
        <w:tc>
          <w:tcPr>
            <w:tcW w:w="4762" w:type="dxa"/>
          </w:tcPr>
          <w:p>
            <w:pPr>
              <w:pStyle w:val="0"/>
            </w:pPr>
            <w:r>
              <w:rPr>
                <w:sz w:val="20"/>
              </w:rPr>
              <w:t xml:space="preserve">Что сделано/переоборудовано/создано в рамках деятельности?</w:t>
            </w:r>
          </w:p>
        </w:tc>
        <w:tc>
          <w:tcPr>
            <w:tcW w:w="4252" w:type="dxa"/>
          </w:tcPr>
          <w:p>
            <w:pPr>
              <w:pStyle w:val="0"/>
            </w:pPr>
            <w:r>
              <w:rPr>
                <w:sz w:val="20"/>
              </w:rPr>
            </w:r>
          </w:p>
        </w:tc>
      </w:tr>
      <w:tr>
        <w:tc>
          <w:tcPr>
            <w:tcW w:w="4762" w:type="dxa"/>
          </w:tcPr>
          <w:p>
            <w:pPr>
              <w:pStyle w:val="0"/>
            </w:pPr>
            <w:r>
              <w:rPr>
                <w:sz w:val="20"/>
              </w:rPr>
              <w:t xml:space="preserve">Какая полиграфическая продукция и рекламные материалы для широкой аудитории изготовлены в рамках деятельности в период использования гранта?</w:t>
            </w:r>
          </w:p>
        </w:tc>
        <w:tc>
          <w:tcPr>
            <w:tcW w:w="4252" w:type="dxa"/>
          </w:tcPr>
          <w:p>
            <w:pPr>
              <w:pStyle w:val="0"/>
            </w:pPr>
            <w:r>
              <w:rPr>
                <w:sz w:val="20"/>
              </w:rPr>
            </w:r>
          </w:p>
        </w:tc>
      </w:tr>
      <w:tr>
        <w:tc>
          <w:tcPr>
            <w:tcW w:w="4762" w:type="dxa"/>
          </w:tcPr>
          <w:p>
            <w:pPr>
              <w:pStyle w:val="0"/>
            </w:pPr>
            <w:r>
              <w:rPr>
                <w:sz w:val="20"/>
              </w:rPr>
              <w:t xml:space="preserve">Какие методические материалы и в каком количестве созданы в период использования гранта/каким образом распространялся опыт?</w:t>
            </w:r>
          </w:p>
        </w:tc>
        <w:tc>
          <w:tcPr>
            <w:tcW w:w="4252" w:type="dxa"/>
          </w:tcPr>
          <w:p>
            <w:pPr>
              <w:pStyle w:val="0"/>
            </w:pPr>
            <w:r>
              <w:rPr>
                <w:sz w:val="20"/>
              </w:rPr>
            </w:r>
          </w:p>
        </w:tc>
      </w:tr>
      <w:tr>
        <w:tc>
          <w:tcPr>
            <w:tcW w:w="4762" w:type="dxa"/>
          </w:tcPr>
          <w:p>
            <w:pPr>
              <w:pStyle w:val="0"/>
            </w:pPr>
            <w:r>
              <w:rPr>
                <w:sz w:val="20"/>
              </w:rPr>
              <w:t xml:space="preserve">Общее количество участников мероприятий Добро.Центра, расходы на организацию которых предусмотрены перечнем затрат гранта</w:t>
            </w:r>
          </w:p>
        </w:tc>
        <w:tc>
          <w:tcPr>
            <w:tcW w:w="4252" w:type="dxa"/>
          </w:tcPr>
          <w:p>
            <w:pPr>
              <w:pStyle w:val="0"/>
            </w:pPr>
            <w:r>
              <w:rPr>
                <w:sz w:val="20"/>
              </w:rPr>
            </w:r>
          </w:p>
        </w:tc>
      </w:tr>
      <w:tr>
        <w:tc>
          <w:tcPr>
            <w:tcW w:w="4762" w:type="dxa"/>
          </w:tcPr>
          <w:p>
            <w:pPr>
              <w:pStyle w:val="0"/>
            </w:pPr>
            <w:r>
              <w:rPr>
                <w:sz w:val="20"/>
              </w:rPr>
              <w:t xml:space="preserve">Какие группы населения принимали участие в мероприятиях в рамках функционирования Добро.Центра, а также примерное соотношение каждой из групп населения в составе участников?</w:t>
            </w:r>
          </w:p>
        </w:tc>
        <w:tc>
          <w:tcPr>
            <w:tcW w:w="4252" w:type="dxa"/>
          </w:tcPr>
          <w:p>
            <w:pPr>
              <w:pStyle w:val="0"/>
            </w:pPr>
            <w:r>
              <w:rPr>
                <w:sz w:val="20"/>
              </w:rPr>
            </w:r>
          </w:p>
        </w:tc>
      </w:tr>
      <w:tr>
        <w:tc>
          <w:tcPr>
            <w:tcW w:w="4762" w:type="dxa"/>
          </w:tcPr>
          <w:p>
            <w:pPr>
              <w:pStyle w:val="0"/>
            </w:pPr>
            <w:r>
              <w:rPr>
                <w:sz w:val="20"/>
              </w:rPr>
              <w:t xml:space="preserve">Каких партнеров удалось привлечь в рамках деятельности?</w:t>
            </w:r>
          </w:p>
        </w:tc>
        <w:tc>
          <w:tcPr>
            <w:tcW w:w="4252" w:type="dxa"/>
          </w:tcPr>
          <w:p>
            <w:pPr>
              <w:pStyle w:val="0"/>
            </w:pPr>
            <w:r>
              <w:rPr>
                <w:sz w:val="20"/>
              </w:rPr>
            </w:r>
          </w:p>
        </w:tc>
      </w:tr>
      <w:tr>
        <w:tc>
          <w:tcPr>
            <w:tcW w:w="4762" w:type="dxa"/>
          </w:tcPr>
          <w:p>
            <w:pPr>
              <w:pStyle w:val="0"/>
            </w:pPr>
            <w:r>
              <w:rPr>
                <w:sz w:val="20"/>
              </w:rPr>
              <w:t xml:space="preserve">Количество добровольцев (волонтеров), которых удалось привлечь к реализации деятельности в период использования гранта</w:t>
            </w:r>
          </w:p>
        </w:tc>
        <w:tc>
          <w:tcPr>
            <w:tcW w:w="4252" w:type="dxa"/>
          </w:tcPr>
          <w:p>
            <w:pPr>
              <w:pStyle w:val="0"/>
            </w:pPr>
            <w:r>
              <w:rPr>
                <w:sz w:val="20"/>
              </w:rPr>
            </w:r>
          </w:p>
        </w:tc>
      </w:tr>
    </w:tbl>
    <w:p>
      <w:pPr>
        <w:pStyle w:val="0"/>
        <w:jc w:val="both"/>
      </w:pPr>
      <w:r>
        <w:rPr>
          <w:sz w:val="20"/>
        </w:rPr>
      </w:r>
    </w:p>
    <w:tbl>
      <w:tblPr>
        <w:tblInd w:w="0" w:type="dxa"/>
        <w:tblLayout w:type="fixed"/>
        <w:tblCellMar>
          <w:top w:w="102" w:type="dxa"/>
          <w:left w:w="62" w:type="dxa"/>
          <w:bottom w:w="102" w:type="dxa"/>
          <w:right w:w="62" w:type="dxa"/>
        </w:tblCellMar>
      </w:tblPr>
      <w:tblGrid>
        <w:gridCol w:w="9071"/>
      </w:tblGrid>
      <w:tr>
        <w:tc>
          <w:tcPr>
            <w:tcW w:w="9071" w:type="dxa"/>
            <w:tcBorders>
              <w:top w:val="nil"/>
              <w:left w:val="nil"/>
              <w:bottom w:val="nil"/>
              <w:right w:val="nil"/>
            </w:tcBorders>
          </w:tcPr>
          <w:p>
            <w:pPr>
              <w:pStyle w:val="0"/>
              <w:outlineLvl w:val="3"/>
              <w:ind w:firstLine="283"/>
              <w:jc w:val="both"/>
            </w:pPr>
            <w:r>
              <w:rPr>
                <w:sz w:val="20"/>
              </w:rPr>
              <w:t xml:space="preserve">Информационное сопровождение мероприятий Добро.Центра в период использования гранта</w:t>
            </w:r>
          </w:p>
        </w:tc>
      </w:tr>
    </w:tbl>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3232"/>
        <w:gridCol w:w="5783"/>
      </w:tblGrid>
      <w:tr>
        <w:tc>
          <w:tcPr>
            <w:tcW w:w="3232" w:type="dxa"/>
          </w:tcPr>
          <w:p>
            <w:pPr>
              <w:pStyle w:val="0"/>
            </w:pPr>
            <w:r>
              <w:rPr>
                <w:sz w:val="20"/>
              </w:rPr>
              <w:t xml:space="preserve">Мероприятие перечня мероприятий, на реализацию которых выделен грант</w:t>
            </w:r>
          </w:p>
        </w:tc>
        <w:tc>
          <w:tcPr>
            <w:tcW w:w="5783" w:type="dxa"/>
          </w:tcPr>
          <w:p>
            <w:pPr>
              <w:pStyle w:val="0"/>
            </w:pPr>
            <w:r>
              <w:rPr>
                <w:sz w:val="20"/>
              </w:rPr>
              <w:t xml:space="preserve">Название публикации/сюжета с указанием даты выхода, новости/сообщения с указанием электронной ссылки в сети Интернет</w:t>
            </w:r>
          </w:p>
        </w:tc>
      </w:tr>
      <w:tr>
        <w:tc>
          <w:tcPr>
            <w:tcW w:w="3232" w:type="dxa"/>
          </w:tcPr>
          <w:p>
            <w:pPr>
              <w:pStyle w:val="0"/>
            </w:pPr>
            <w:r>
              <w:rPr>
                <w:sz w:val="20"/>
              </w:rPr>
            </w:r>
          </w:p>
        </w:tc>
        <w:tc>
          <w:tcPr>
            <w:tcW w:w="5783" w:type="dxa"/>
          </w:tcPr>
          <w:p>
            <w:pPr>
              <w:pStyle w:val="0"/>
            </w:pPr>
            <w:r>
              <w:rPr>
                <w:sz w:val="20"/>
              </w:rPr>
            </w:r>
          </w:p>
        </w:tc>
      </w:tr>
    </w:tbl>
    <w:p>
      <w:pPr>
        <w:pStyle w:val="0"/>
        <w:jc w:val="both"/>
      </w:pPr>
      <w:r>
        <w:rPr>
          <w:sz w:val="20"/>
        </w:rPr>
      </w:r>
    </w:p>
    <w:tbl>
      <w:tblPr>
        <w:tblInd w:w="0" w:type="dxa"/>
        <w:tblLayout w:type="fixed"/>
        <w:tblCellMar>
          <w:top w:w="102" w:type="dxa"/>
          <w:left w:w="62" w:type="dxa"/>
          <w:bottom w:w="102" w:type="dxa"/>
          <w:right w:w="62" w:type="dxa"/>
        </w:tblCellMar>
      </w:tblPr>
      <w:tblGrid>
        <w:gridCol w:w="9071"/>
      </w:tblGrid>
      <w:tr>
        <w:tc>
          <w:tcPr>
            <w:tcW w:w="9071" w:type="dxa"/>
            <w:tcBorders>
              <w:top w:val="nil"/>
              <w:left w:val="nil"/>
              <w:bottom w:val="nil"/>
              <w:right w:val="nil"/>
            </w:tcBorders>
          </w:tcPr>
          <w:p>
            <w:pPr>
              <w:pStyle w:val="0"/>
              <w:outlineLvl w:val="2"/>
              <w:ind w:firstLine="283"/>
              <w:jc w:val="both"/>
            </w:pPr>
            <w:r>
              <w:rPr>
                <w:sz w:val="20"/>
              </w:rPr>
              <w:t xml:space="preserve">2. Произведенные расходы:</w:t>
            </w:r>
          </w:p>
        </w:tc>
      </w:tr>
    </w:tbl>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10"/>
        <w:gridCol w:w="1644"/>
        <w:gridCol w:w="1871"/>
        <w:gridCol w:w="1644"/>
        <w:gridCol w:w="1984"/>
        <w:gridCol w:w="1417"/>
      </w:tblGrid>
      <w:tr>
        <w:tc>
          <w:tcPr>
            <w:tcW w:w="510" w:type="dxa"/>
          </w:tcPr>
          <w:p>
            <w:pPr>
              <w:pStyle w:val="0"/>
              <w:jc w:val="center"/>
            </w:pPr>
            <w:r>
              <w:rPr>
                <w:sz w:val="20"/>
              </w:rPr>
              <w:t xml:space="preserve">N</w:t>
            </w:r>
          </w:p>
          <w:p>
            <w:pPr>
              <w:pStyle w:val="0"/>
              <w:jc w:val="center"/>
            </w:pPr>
            <w:r>
              <w:rPr>
                <w:sz w:val="20"/>
              </w:rPr>
              <w:t xml:space="preserve">п/п</w:t>
            </w:r>
          </w:p>
        </w:tc>
        <w:tc>
          <w:tcPr>
            <w:tcW w:w="1644" w:type="dxa"/>
          </w:tcPr>
          <w:p>
            <w:pPr>
              <w:pStyle w:val="0"/>
            </w:pPr>
            <w:r>
              <w:rPr>
                <w:sz w:val="20"/>
              </w:rPr>
              <w:t xml:space="preserve">Направление использования гранта в соответствии с перечнем затрат</w:t>
            </w:r>
          </w:p>
        </w:tc>
        <w:tc>
          <w:tcPr>
            <w:tcW w:w="1871" w:type="dxa"/>
          </w:tcPr>
          <w:p>
            <w:pPr>
              <w:pStyle w:val="0"/>
            </w:pPr>
            <w:r>
              <w:rPr>
                <w:sz w:val="20"/>
              </w:rPr>
              <w:t xml:space="preserve">Плановый объем финансирования по направлению использования гранта, рублей</w:t>
            </w:r>
          </w:p>
        </w:tc>
        <w:tc>
          <w:tcPr>
            <w:tcW w:w="1644" w:type="dxa"/>
          </w:tcPr>
          <w:p>
            <w:pPr>
              <w:pStyle w:val="0"/>
            </w:pPr>
            <w:r>
              <w:rPr>
                <w:sz w:val="20"/>
              </w:rPr>
              <w:t xml:space="preserve">Объем расходования средств по направлению использования гранта, рублей</w:t>
            </w:r>
          </w:p>
        </w:tc>
        <w:tc>
          <w:tcPr>
            <w:tcW w:w="1984" w:type="dxa"/>
          </w:tcPr>
          <w:p>
            <w:pPr>
              <w:pStyle w:val="0"/>
            </w:pPr>
            <w:r>
              <w:rPr>
                <w:sz w:val="20"/>
              </w:rPr>
              <w:t xml:space="preserve">Объем неиспользованных средств по направлению использования гранта, рублей</w:t>
            </w:r>
          </w:p>
        </w:tc>
        <w:tc>
          <w:tcPr>
            <w:tcW w:w="1417" w:type="dxa"/>
          </w:tcPr>
          <w:p>
            <w:pPr>
              <w:pStyle w:val="0"/>
              <w:jc w:val="center"/>
            </w:pPr>
            <w:r>
              <w:rPr>
                <w:sz w:val="20"/>
              </w:rPr>
              <w:t xml:space="preserve">Примечание</w:t>
            </w:r>
          </w:p>
        </w:tc>
      </w:tr>
      <w:tr>
        <w:tc>
          <w:tcPr>
            <w:tcW w:w="510" w:type="dxa"/>
          </w:tcPr>
          <w:p>
            <w:pPr>
              <w:pStyle w:val="0"/>
            </w:pPr>
            <w:r>
              <w:rPr>
                <w:sz w:val="20"/>
              </w:rPr>
            </w:r>
          </w:p>
        </w:tc>
        <w:tc>
          <w:tcPr>
            <w:tcW w:w="1644" w:type="dxa"/>
          </w:tcPr>
          <w:p>
            <w:pPr>
              <w:pStyle w:val="0"/>
            </w:pPr>
            <w:r>
              <w:rPr>
                <w:sz w:val="20"/>
              </w:rPr>
            </w:r>
          </w:p>
        </w:tc>
        <w:tc>
          <w:tcPr>
            <w:tcW w:w="1871" w:type="dxa"/>
          </w:tcPr>
          <w:p>
            <w:pPr>
              <w:pStyle w:val="0"/>
            </w:pPr>
            <w:r>
              <w:rPr>
                <w:sz w:val="20"/>
              </w:rPr>
            </w:r>
          </w:p>
        </w:tc>
        <w:tc>
          <w:tcPr>
            <w:tcW w:w="1644" w:type="dxa"/>
          </w:tcPr>
          <w:p>
            <w:pPr>
              <w:pStyle w:val="0"/>
            </w:pPr>
            <w:r>
              <w:rPr>
                <w:sz w:val="20"/>
              </w:rPr>
            </w:r>
          </w:p>
        </w:tc>
        <w:tc>
          <w:tcPr>
            <w:tcW w:w="1984" w:type="dxa"/>
          </w:tcPr>
          <w:p>
            <w:pPr>
              <w:pStyle w:val="0"/>
            </w:pPr>
            <w:r>
              <w:rPr>
                <w:sz w:val="20"/>
              </w:rPr>
            </w:r>
          </w:p>
        </w:tc>
        <w:tc>
          <w:tcPr>
            <w:tcW w:w="1417" w:type="dxa"/>
          </w:tcPr>
          <w:p>
            <w:pPr>
              <w:pStyle w:val="0"/>
            </w:pPr>
            <w:r>
              <w:rPr>
                <w:sz w:val="20"/>
              </w:rPr>
            </w:r>
          </w:p>
        </w:tc>
      </w:tr>
      <w:tr>
        <w:tc>
          <w:tcPr>
            <w:tcW w:w="510" w:type="dxa"/>
          </w:tcPr>
          <w:p>
            <w:pPr>
              <w:pStyle w:val="0"/>
            </w:pPr>
            <w:r>
              <w:rPr>
                <w:sz w:val="20"/>
              </w:rPr>
            </w:r>
          </w:p>
        </w:tc>
        <w:tc>
          <w:tcPr>
            <w:tcW w:w="1644" w:type="dxa"/>
          </w:tcPr>
          <w:p>
            <w:pPr>
              <w:pStyle w:val="0"/>
            </w:pPr>
            <w:r>
              <w:rPr>
                <w:sz w:val="20"/>
              </w:rPr>
            </w:r>
          </w:p>
        </w:tc>
        <w:tc>
          <w:tcPr>
            <w:tcW w:w="1871" w:type="dxa"/>
          </w:tcPr>
          <w:p>
            <w:pPr>
              <w:pStyle w:val="0"/>
            </w:pPr>
            <w:r>
              <w:rPr>
                <w:sz w:val="20"/>
              </w:rPr>
            </w:r>
          </w:p>
        </w:tc>
        <w:tc>
          <w:tcPr>
            <w:tcW w:w="1644" w:type="dxa"/>
          </w:tcPr>
          <w:p>
            <w:pPr>
              <w:pStyle w:val="0"/>
            </w:pPr>
            <w:r>
              <w:rPr>
                <w:sz w:val="20"/>
              </w:rPr>
            </w:r>
          </w:p>
        </w:tc>
        <w:tc>
          <w:tcPr>
            <w:tcW w:w="1984" w:type="dxa"/>
          </w:tcPr>
          <w:p>
            <w:pPr>
              <w:pStyle w:val="0"/>
            </w:pPr>
            <w:r>
              <w:rPr>
                <w:sz w:val="20"/>
              </w:rPr>
            </w:r>
          </w:p>
        </w:tc>
        <w:tc>
          <w:tcPr>
            <w:tcW w:w="1417" w:type="dxa"/>
          </w:tcPr>
          <w:p>
            <w:pPr>
              <w:pStyle w:val="0"/>
            </w:pPr>
            <w:r>
              <w:rPr>
                <w:sz w:val="20"/>
              </w:rPr>
            </w:r>
          </w:p>
        </w:tc>
      </w:tr>
      <w:tr>
        <w:tc>
          <w:tcPr>
            <w:tcW w:w="510" w:type="dxa"/>
          </w:tcPr>
          <w:p>
            <w:pPr>
              <w:pStyle w:val="0"/>
            </w:pPr>
            <w:r>
              <w:rPr>
                <w:sz w:val="20"/>
              </w:rPr>
            </w:r>
          </w:p>
        </w:tc>
        <w:tc>
          <w:tcPr>
            <w:tcW w:w="1644" w:type="dxa"/>
          </w:tcPr>
          <w:p>
            <w:pPr>
              <w:pStyle w:val="0"/>
            </w:pPr>
            <w:r>
              <w:rPr>
                <w:sz w:val="20"/>
              </w:rPr>
              <w:t xml:space="preserve">Итого:</w:t>
            </w:r>
          </w:p>
        </w:tc>
        <w:tc>
          <w:tcPr>
            <w:tcW w:w="1871" w:type="dxa"/>
          </w:tcPr>
          <w:p>
            <w:pPr>
              <w:pStyle w:val="0"/>
            </w:pPr>
            <w:r>
              <w:rPr>
                <w:sz w:val="20"/>
              </w:rPr>
            </w:r>
          </w:p>
        </w:tc>
        <w:tc>
          <w:tcPr>
            <w:tcW w:w="1644" w:type="dxa"/>
          </w:tcPr>
          <w:p>
            <w:pPr>
              <w:pStyle w:val="0"/>
            </w:pPr>
            <w:r>
              <w:rPr>
                <w:sz w:val="20"/>
              </w:rPr>
            </w:r>
          </w:p>
        </w:tc>
        <w:tc>
          <w:tcPr>
            <w:tcW w:w="1984" w:type="dxa"/>
          </w:tcPr>
          <w:p>
            <w:pPr>
              <w:pStyle w:val="0"/>
            </w:pPr>
            <w:r>
              <w:rPr>
                <w:sz w:val="20"/>
              </w:rPr>
            </w:r>
          </w:p>
        </w:tc>
        <w:tc>
          <w:tcPr>
            <w:tcW w:w="1417" w:type="dxa"/>
          </w:tcPr>
          <w:p>
            <w:pPr>
              <w:pStyle w:val="0"/>
            </w:pPr>
            <w:r>
              <w:rPr>
                <w:sz w:val="20"/>
              </w:rPr>
            </w:r>
          </w:p>
        </w:tc>
      </w:tr>
    </w:tbl>
    <w:p>
      <w:pPr>
        <w:pStyle w:val="0"/>
        <w:jc w:val="both"/>
      </w:pPr>
      <w:r>
        <w:rPr>
          <w:sz w:val="20"/>
        </w:rPr>
      </w:r>
    </w:p>
    <w:tbl>
      <w:tblPr>
        <w:tblInd w:w="0" w:type="dxa"/>
        <w:tblLayout w:type="fixed"/>
        <w:tblCellMar>
          <w:top w:w="102" w:type="dxa"/>
          <w:left w:w="62" w:type="dxa"/>
          <w:bottom w:w="102" w:type="dxa"/>
          <w:right w:w="62" w:type="dxa"/>
        </w:tblCellMar>
      </w:tblPr>
      <w:tblGrid>
        <w:gridCol w:w="3855"/>
        <w:gridCol w:w="367"/>
        <w:gridCol w:w="1532"/>
        <w:gridCol w:w="367"/>
        <w:gridCol w:w="2945"/>
      </w:tblGrid>
      <w:tr>
        <w:tc>
          <w:tcPr>
            <w:gridSpan w:val="5"/>
            <w:tcW w:w="9066" w:type="dxa"/>
            <w:tcBorders>
              <w:top w:val="nil"/>
              <w:left w:val="nil"/>
              <w:bottom w:val="nil"/>
              <w:right w:val="nil"/>
            </w:tcBorders>
          </w:tcPr>
          <w:p>
            <w:pPr>
              <w:pStyle w:val="0"/>
              <w:ind w:firstLine="283"/>
              <w:jc w:val="both"/>
            </w:pPr>
            <w:r>
              <w:rPr>
                <w:sz w:val="20"/>
              </w:rPr>
              <w:t xml:space="preserve">Представляя настоящий отчет, Добро.Центр в лице</w:t>
            </w:r>
          </w:p>
        </w:tc>
      </w:tr>
      <w:tr>
        <w:tc>
          <w:tcPr>
            <w:gridSpan w:val="5"/>
            <w:tcW w:w="9066" w:type="dxa"/>
            <w:tcBorders>
              <w:top w:val="nil"/>
              <w:left w:val="nil"/>
              <w:bottom w:val="single" w:sz="4"/>
              <w:right w:val="nil"/>
            </w:tcBorders>
          </w:tcPr>
          <w:p>
            <w:pPr>
              <w:pStyle w:val="0"/>
            </w:pPr>
            <w:r>
              <w:rPr>
                <w:sz w:val="20"/>
              </w:rPr>
            </w:r>
          </w:p>
        </w:tc>
      </w:tr>
      <w:tr>
        <w:tc>
          <w:tcPr>
            <w:gridSpan w:val="5"/>
            <w:tcW w:w="9066" w:type="dxa"/>
            <w:tcBorders>
              <w:top w:val="single" w:sz="4"/>
              <w:left w:val="nil"/>
              <w:bottom w:val="nil"/>
              <w:right w:val="nil"/>
            </w:tcBorders>
          </w:tcPr>
          <w:p>
            <w:pPr>
              <w:pStyle w:val="0"/>
              <w:jc w:val="center"/>
            </w:pPr>
            <w:r>
              <w:rPr>
                <w:sz w:val="20"/>
              </w:rPr>
              <w:t xml:space="preserve">(фамилия, имя, отчество руководителя организации)</w:t>
            </w:r>
          </w:p>
        </w:tc>
      </w:tr>
      <w:tr>
        <w:tc>
          <w:tcPr>
            <w:gridSpan w:val="5"/>
            <w:tcW w:w="9066" w:type="dxa"/>
            <w:tcBorders>
              <w:top w:val="nil"/>
              <w:left w:val="nil"/>
              <w:bottom w:val="nil"/>
              <w:right w:val="nil"/>
            </w:tcBorders>
          </w:tcPr>
          <w:p>
            <w:pPr>
              <w:pStyle w:val="0"/>
            </w:pPr>
            <w:r>
              <w:rPr>
                <w:sz w:val="20"/>
              </w:rPr>
            </w:r>
          </w:p>
        </w:tc>
      </w:tr>
      <w:tr>
        <w:tc>
          <w:tcPr>
            <w:gridSpan w:val="5"/>
            <w:tcW w:w="9066" w:type="dxa"/>
            <w:tcBorders>
              <w:top w:val="nil"/>
              <w:left w:val="nil"/>
              <w:bottom w:val="nil"/>
              <w:right w:val="nil"/>
            </w:tcBorders>
          </w:tcPr>
          <w:p>
            <w:pPr>
              <w:pStyle w:val="0"/>
              <w:jc w:val="both"/>
            </w:pPr>
            <w:r>
              <w:rPr>
                <w:sz w:val="20"/>
              </w:rPr>
              <w:t xml:space="preserve">подтверждает, что при расходовании средств гранта соблюдены все условия предоставления гранта из областного бюджета, определенные, Порядком предоставления грантов на поддержку добровольчества на территории Вологодской области.</w:t>
            </w:r>
          </w:p>
          <w:p>
            <w:pPr>
              <w:pStyle w:val="0"/>
            </w:pPr>
            <w:r>
              <w:rPr>
                <w:sz w:val="20"/>
              </w:rPr>
            </w:r>
          </w:p>
          <w:p>
            <w:pPr>
              <w:pStyle w:val="0"/>
              <w:jc w:val="both"/>
            </w:pPr>
            <w:r>
              <w:rPr>
                <w:sz w:val="20"/>
              </w:rPr>
              <w:t xml:space="preserve">Приложение: на _____ л.</w:t>
            </w:r>
          </w:p>
        </w:tc>
      </w:tr>
      <w:tr>
        <w:tc>
          <w:tcPr>
            <w:tcW w:w="3855" w:type="dxa"/>
            <w:tcBorders>
              <w:top w:val="nil"/>
              <w:left w:val="nil"/>
              <w:bottom w:val="single" w:sz="4"/>
              <w:right w:val="nil"/>
            </w:tcBorders>
          </w:tcPr>
          <w:p>
            <w:pPr>
              <w:pStyle w:val="0"/>
            </w:pPr>
            <w:r>
              <w:rPr>
                <w:sz w:val="20"/>
              </w:rPr>
            </w:r>
          </w:p>
        </w:tc>
        <w:tc>
          <w:tcPr>
            <w:tcW w:w="367" w:type="dxa"/>
            <w:tcBorders>
              <w:top w:val="nil"/>
              <w:left w:val="nil"/>
              <w:bottom w:val="nil"/>
              <w:right w:val="nil"/>
            </w:tcBorders>
          </w:tcPr>
          <w:p>
            <w:pPr>
              <w:pStyle w:val="0"/>
            </w:pPr>
            <w:r>
              <w:rPr>
                <w:sz w:val="20"/>
              </w:rPr>
            </w:r>
          </w:p>
        </w:tc>
        <w:tc>
          <w:tcPr>
            <w:tcW w:w="1532" w:type="dxa"/>
            <w:tcBorders>
              <w:top w:val="nil"/>
              <w:left w:val="nil"/>
              <w:bottom w:val="single" w:sz="4"/>
              <w:right w:val="nil"/>
            </w:tcBorders>
          </w:tcPr>
          <w:p>
            <w:pPr>
              <w:pStyle w:val="0"/>
            </w:pPr>
            <w:r>
              <w:rPr>
                <w:sz w:val="20"/>
              </w:rPr>
            </w:r>
          </w:p>
        </w:tc>
        <w:tc>
          <w:tcPr>
            <w:tcW w:w="367" w:type="dxa"/>
            <w:tcBorders>
              <w:top w:val="nil"/>
              <w:left w:val="nil"/>
              <w:bottom w:val="nil"/>
              <w:right w:val="nil"/>
            </w:tcBorders>
          </w:tcPr>
          <w:p>
            <w:pPr>
              <w:pStyle w:val="0"/>
            </w:pPr>
            <w:r>
              <w:rPr>
                <w:sz w:val="20"/>
              </w:rPr>
            </w:r>
          </w:p>
        </w:tc>
        <w:tc>
          <w:tcPr>
            <w:tcW w:w="2945" w:type="dxa"/>
            <w:tcBorders>
              <w:top w:val="nil"/>
              <w:left w:val="nil"/>
              <w:bottom w:val="single" w:sz="4"/>
              <w:right w:val="nil"/>
            </w:tcBorders>
          </w:tcPr>
          <w:p>
            <w:pPr>
              <w:pStyle w:val="0"/>
            </w:pPr>
            <w:r>
              <w:rPr>
                <w:sz w:val="20"/>
              </w:rPr>
            </w:r>
          </w:p>
        </w:tc>
      </w:tr>
      <w:tr>
        <w:tc>
          <w:tcPr>
            <w:tcW w:w="3855" w:type="dxa"/>
            <w:tcBorders>
              <w:top w:val="single" w:sz="4"/>
              <w:left w:val="nil"/>
              <w:bottom w:val="nil"/>
              <w:right w:val="nil"/>
            </w:tcBorders>
          </w:tcPr>
          <w:p>
            <w:pPr>
              <w:pStyle w:val="0"/>
              <w:jc w:val="center"/>
            </w:pPr>
            <w:r>
              <w:rPr>
                <w:sz w:val="20"/>
              </w:rPr>
              <w:t xml:space="preserve">(руководитель организации)</w:t>
            </w:r>
          </w:p>
        </w:tc>
        <w:tc>
          <w:tcPr>
            <w:tcW w:w="367" w:type="dxa"/>
            <w:tcBorders>
              <w:top w:val="nil"/>
              <w:left w:val="nil"/>
              <w:bottom w:val="nil"/>
              <w:right w:val="nil"/>
            </w:tcBorders>
          </w:tcPr>
          <w:p>
            <w:pPr>
              <w:pStyle w:val="0"/>
            </w:pPr>
            <w:r>
              <w:rPr>
                <w:sz w:val="20"/>
              </w:rPr>
            </w:r>
          </w:p>
        </w:tc>
        <w:tc>
          <w:tcPr>
            <w:tcW w:w="1532" w:type="dxa"/>
            <w:tcBorders>
              <w:top w:val="single" w:sz="4"/>
              <w:left w:val="nil"/>
              <w:bottom w:val="nil"/>
              <w:right w:val="nil"/>
            </w:tcBorders>
          </w:tcPr>
          <w:p>
            <w:pPr>
              <w:pStyle w:val="0"/>
              <w:jc w:val="center"/>
            </w:pPr>
            <w:r>
              <w:rPr>
                <w:sz w:val="20"/>
              </w:rPr>
              <w:t xml:space="preserve">(подпись)</w:t>
            </w:r>
          </w:p>
        </w:tc>
        <w:tc>
          <w:tcPr>
            <w:tcW w:w="367" w:type="dxa"/>
            <w:tcBorders>
              <w:top w:val="nil"/>
              <w:left w:val="nil"/>
              <w:bottom w:val="nil"/>
              <w:right w:val="nil"/>
            </w:tcBorders>
          </w:tcPr>
          <w:p>
            <w:pPr>
              <w:pStyle w:val="0"/>
            </w:pPr>
            <w:r>
              <w:rPr>
                <w:sz w:val="20"/>
              </w:rPr>
            </w:r>
          </w:p>
        </w:tc>
        <w:tc>
          <w:tcPr>
            <w:tcW w:w="2945" w:type="dxa"/>
            <w:tcBorders>
              <w:top w:val="single" w:sz="4"/>
              <w:left w:val="nil"/>
              <w:bottom w:val="nil"/>
              <w:right w:val="nil"/>
            </w:tcBorders>
          </w:tcPr>
          <w:p>
            <w:pPr>
              <w:pStyle w:val="0"/>
              <w:jc w:val="center"/>
            </w:pPr>
            <w:r>
              <w:rPr>
                <w:sz w:val="20"/>
              </w:rPr>
              <w:t xml:space="preserve">(расшифровка подписи)</w:t>
            </w:r>
          </w:p>
        </w:tc>
      </w:tr>
      <w:tr>
        <w:tc>
          <w:tcPr>
            <w:gridSpan w:val="5"/>
            <w:tcW w:w="9066" w:type="dxa"/>
            <w:tcBorders>
              <w:top w:val="nil"/>
              <w:left w:val="nil"/>
              <w:bottom w:val="nil"/>
              <w:right w:val="nil"/>
            </w:tcBorders>
          </w:tcPr>
          <w:p>
            <w:pPr>
              <w:pStyle w:val="0"/>
            </w:pPr>
            <w:r>
              <w:rPr>
                <w:sz w:val="20"/>
              </w:rPr>
            </w:r>
          </w:p>
        </w:tc>
      </w:tr>
      <w:tr>
        <w:tc>
          <w:tcPr>
            <w:gridSpan w:val="5"/>
            <w:tcW w:w="9066" w:type="dxa"/>
            <w:tcBorders>
              <w:top w:val="nil"/>
              <w:left w:val="nil"/>
              <w:bottom w:val="nil"/>
              <w:right w:val="nil"/>
            </w:tcBorders>
          </w:tcPr>
          <w:p>
            <w:pPr>
              <w:pStyle w:val="0"/>
              <w:jc w:val="both"/>
            </w:pPr>
            <w:r>
              <w:rPr>
                <w:sz w:val="20"/>
              </w:rPr>
              <w:t xml:space="preserve">"__"____________ 20__ года</w:t>
            </w:r>
          </w:p>
          <w:p>
            <w:pPr>
              <w:pStyle w:val="0"/>
            </w:pPr>
            <w:r>
              <w:rPr>
                <w:sz w:val="20"/>
              </w:rPr>
            </w:r>
          </w:p>
          <w:p>
            <w:pPr>
              <w:pStyle w:val="0"/>
              <w:jc w:val="both"/>
            </w:pPr>
            <w:r>
              <w:rPr>
                <w:sz w:val="20"/>
              </w:rPr>
              <w:t xml:space="preserve">М.П.</w:t>
            </w:r>
          </w:p>
        </w:tc>
      </w:tr>
    </w:tbl>
    <w:p>
      <w:pPr>
        <w:pStyle w:val="0"/>
        <w:jc w:val="both"/>
      </w:pPr>
      <w:r>
        <w:rPr>
          <w:sz w:val="20"/>
        </w:rPr>
      </w:r>
    </w:p>
    <w:p>
      <w:pPr>
        <w:pStyle w:val="0"/>
        <w:jc w:val="both"/>
      </w:pPr>
      <w:r>
        <w:rPr>
          <w:sz w:val="20"/>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footer2.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170"/>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Постановление Правительства Вологодской области от 26.05.2025 N 783</w:t>
            <w:br/>
            <w:t>(ред. от 13.10.2025)</w:t>
            <w:br/>
            <w:t>"Об утверждении Порядка предост...</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02.01.2026</w:t>
          </w:r>
        </w:p>
      </w:tc>
    </w:tr>
  </w:tbl>
  <w:p>
    <w:pPr>
      <w:pBdr>
        <w:bottom w:val="single" w:sz="12" w:space="0" w:color="auto"/>
      </w:pBdr>
      <w:rPr>
        <w:sz w:val="2"/>
        <w:szCs w:val="2"/>
      </w:rPr>
    </w:pPr>
  </w:p>
  <w:p/>
</w:hdr>
</file>

<file path=word/header2.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190"/>
      </w:trPr>
      <w:tc>
        <w:tcPr>
          <w:tcW w:w="2700" w:type="pct"/>
          <w:vAlign w:val="center"/>
        </w:tcPr>
        <w:p>
          <w:pPr>
            <w:rPr>
              <w:rFonts w:ascii="Tahoma" w:hAnsi="Tahoma" w:cs="Tahoma"/>
            </w:rPr>
          </w:pPr>
          <w:r>
            <w:rPr>
              <w:rFonts w:ascii="Tahoma" w:hAnsi="Tahoma" w:cs="Tahoma"/>
              <w:sz w:val="16"/>
              <w:szCs w:val="16"/>
            </w:rPr>
            <w:t>Постановление Правительства Вологодской области от 26.05.2025 N 783</w:t>
            <w:br/>
            <w:t>(ред. от 13.10.2025)</w:t>
            <w:br/>
            <w:t>"Об утверждении Порядка предост...</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02.01.2026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Arial" w:hAnsi="Arial" w:cs="Arial"/>
      <w:sz w:val="20"/>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Arial" w:hAnsi="Arial" w:cs="Arial"/>
      <w:sz w:val="20"/>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RLAW095&amp;n=256445&amp;dst=100005" TargetMode = "External"/><Relationship Id="rId9" Type="http://schemas.openxmlformats.org/officeDocument/2006/relationships/hyperlink" Target="https://login.consultant.ru/link/?req=doc&amp;base=LAW&amp;n=520154&amp;dst=7174" TargetMode = "External"/><Relationship Id="rId10" Type="http://schemas.openxmlformats.org/officeDocument/2006/relationships/hyperlink" Target="https://login.consultant.ru/link/?req=doc&amp;base=LAW&amp;n=520154&amp;dst=7188" TargetMode = "External"/><Relationship Id="rId11" Type="http://schemas.openxmlformats.org/officeDocument/2006/relationships/hyperlink" Target="https://login.consultant.ru/link/?req=doc&amp;base=LAW&amp;n=520154&amp;dst=7617" TargetMode = "External"/><Relationship Id="rId12" Type="http://schemas.openxmlformats.org/officeDocument/2006/relationships/hyperlink" Target="https://login.consultant.ru/link/?req=doc&amp;base=LAW&amp;n=490805&amp;dst=100026" TargetMode = "External"/><Relationship Id="rId13" Type="http://schemas.openxmlformats.org/officeDocument/2006/relationships/hyperlink" Target="https://login.consultant.ru/link/?req=doc&amp;base=RLAW095&amp;n=244447&amp;dst=100072" TargetMode = "External"/><Relationship Id="rId14" Type="http://schemas.openxmlformats.org/officeDocument/2006/relationships/hyperlink" Target="https://login.consultant.ru/link/?req=doc&amp;base=RLAW095&amp;n=256445&amp;dst=100005" TargetMode = "External"/><Relationship Id="rId15" Type="http://schemas.openxmlformats.org/officeDocument/2006/relationships/hyperlink" Target="https://login.consultant.ru/link/?req=doc&amp;base=RLAW095&amp;n=259134&amp;dst=138794" TargetMode = "External"/><Relationship Id="rId16" Type="http://schemas.openxmlformats.org/officeDocument/2006/relationships/hyperlink" Target="https://login.consultant.ru/link/?req=doc&amp;base=LAW&amp;n=520154&amp;dst=7147" TargetMode = "External"/><Relationship Id="rId17" Type="http://schemas.openxmlformats.org/officeDocument/2006/relationships/hyperlink" Target="https://&#1044;&#1086;&#1073;&#1088;&#1086;.&#1088;&#1092;" TargetMode = "External"/><Relationship Id="rId18" Type="http://schemas.openxmlformats.org/officeDocument/2006/relationships/hyperlink" Target="https://login.consultant.ru/link/?req=doc&amp;base=LAW&amp;n=420230&amp;dst=100010" TargetMode = "External"/><Relationship Id="rId19" Type="http://schemas.openxmlformats.org/officeDocument/2006/relationships/hyperlink" Target="https://login.consultant.ru/link/?req=doc&amp;base=LAW&amp;n=121087&amp;dst=100142" TargetMode = "External"/><Relationship Id="rId20" Type="http://schemas.openxmlformats.org/officeDocument/2006/relationships/hyperlink" Target="https://login.consultant.ru/link/?req=doc&amp;base=LAW&amp;n=503698&amp;dst=100008" TargetMode = "External"/><Relationship Id="rId21" Type="http://schemas.openxmlformats.org/officeDocument/2006/relationships/hyperlink" Target="https://login.consultant.ru/link/?req=doc&amp;base=LAW&amp;n=520119&amp;dst=5769" TargetMode = "External"/><Relationship Id="rId22" Type="http://schemas.openxmlformats.org/officeDocument/2006/relationships/hyperlink" Target="https://promote.budget.gov.ru" TargetMode = "External"/><Relationship Id="rId23" Type="http://schemas.openxmlformats.org/officeDocument/2006/relationships/hyperlink" Target="https://login.consultant.ru/link/?req=doc&amp;base=RLAW095&amp;n=256445&amp;dst=100006" TargetMode = "External"/><Relationship Id="rId24" Type="http://schemas.openxmlformats.org/officeDocument/2006/relationships/hyperlink" Target="https://promote.budget.gov.ru/" TargetMode = "External"/><Relationship Id="rId25" Type="http://schemas.openxmlformats.org/officeDocument/2006/relationships/hyperlink" Target="https://&#1044;&#1086;&#1073;&#1088;&#1086;.&#1088;&#1092;" TargetMode = "External"/><Relationship Id="rId26" Type="http://schemas.openxmlformats.org/officeDocument/2006/relationships/hyperlink" Target="https://&#1044;&#1086;&#1073;&#1088;&#1086;.&#1088;&#1092;" TargetMode = "External"/><Relationship Id="rId27" Type="http://schemas.openxmlformats.org/officeDocument/2006/relationships/hyperlink" Target="https://&#1044;&#1086;&#1073;&#1088;&#1086;.&#1088;&#1092;" TargetMode = "External"/><Relationship Id="rId28" Type="http://schemas.openxmlformats.org/officeDocument/2006/relationships/hyperlink" Target="https://login.consultant.ru/link/?req=doc&amp;base=RLAW095&amp;n=256445&amp;dst=100008" TargetMode = "External"/><Relationship Id="rId29" Type="http://schemas.openxmlformats.org/officeDocument/2006/relationships/hyperlink" Target="https://login.consultant.ru/link/?req=doc&amp;base=RLAW095&amp;n=256445&amp;dst=100009" TargetMode = "External"/><Relationship Id="rId30" Type="http://schemas.openxmlformats.org/officeDocument/2006/relationships/hyperlink" Target="https://login.consultant.ru/link/?req=doc&amp;base=LAW&amp;n=520154&amp;dst=3704" TargetMode = "External"/><Relationship Id="rId31" Type="http://schemas.openxmlformats.org/officeDocument/2006/relationships/hyperlink" Target="https://login.consultant.ru/link/?req=doc&amp;base=LAW&amp;n=520154&amp;dst=3722" TargetMode = "External"/><Relationship Id="rId32" Type="http://schemas.openxmlformats.org/officeDocument/2006/relationships/hyperlink" Target="https://login.consultant.ru/link/?req=doc&amp;base=LAW&amp;n=520154&amp;dst=3704" TargetMode = "External"/><Relationship Id="rId33" Type="http://schemas.openxmlformats.org/officeDocument/2006/relationships/hyperlink" Target="https://login.consultant.ru/link/?req=doc&amp;base=LAW&amp;n=520154&amp;dst=3722" TargetMode = "External"/><Relationship Id="rId34" Type="http://schemas.openxmlformats.org/officeDocument/2006/relationships/header" Target="header2.xml"/><Relationship Id="rId35" Type="http://schemas.openxmlformats.org/officeDocument/2006/relationships/footer" Target="footer2.xml"/><Relationship Id="rId36" Type="http://schemas.openxmlformats.org/officeDocument/2006/relationships/hyperlink" Target="https://&#1044;&#1086;&#1073;&#1088;&#1086;.&#1088;&#1092;" TargetMode = "External"/><Relationship Id="rId37" Type="http://schemas.openxmlformats.org/officeDocument/2006/relationships/hyperlink" Target="https://login.consultant.ru/link/?req=doc&amp;base=RLAW095&amp;n=256445&amp;dst=100010" TargetMode = "External"/><Relationship Id="rId38" Type="http://schemas.openxmlformats.org/officeDocument/2006/relationships/hyperlink" Target="https://login.consultant.ru/link/?req=doc&amp;base=LAW&amp;n=520154&amp;dst=3704" TargetMode = "External"/><Relationship Id="rId39" Type="http://schemas.openxmlformats.org/officeDocument/2006/relationships/hyperlink" Target="https://login.consultant.ru/link/?req=doc&amp;base=LAW&amp;n=520154&amp;dst=3722" TargetMode = "External"/><Relationship Id="rId40" Type="http://schemas.openxmlformats.org/officeDocument/2006/relationships/hyperlink" Target="https://login.consultant.ru/link/?req=doc&amp;base=LAW&amp;n=520154&amp;dst=7183" TargetMode = "External"/><Relationship Id="rId41" Type="http://schemas.openxmlformats.org/officeDocument/2006/relationships/hyperlink" Target="https://&#1044;&#1086;&#1073;&#1088;&#1086;.&#1088;&#1092;"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footer2.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2.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4025.00.52</Application>
  <Company>КонсультантПлюс Версия 4025.00.52</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Правительства Вологодской области от 26.05.2025 N 783
(ред. от 13.10.2025)
"Об утверждении Порядка предоставления грантов на поддержку добровольчества на территории Вологодской области в 2025 году"
(вместе с "Положением о конкурсной комиссии по отбору получателей грантов на поддержку добровольчества на территории Вологодской области (далее - Положение)")</dc:title>
  <dcterms:created xsi:type="dcterms:W3CDTF">2026-01-02T13:58:02Z</dcterms:created>
</cp:coreProperties>
</file>