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Вологодской области от 02.06.2025 N 840</w:t>
              <w:br/>
              <w:t xml:space="preserve">(ред. от 01.08.2025)</w:t>
              <w:br/>
              <w:t xml:space="preserve">"Об утверждении Порядка предоставления субсидии общественным объединениям на обеспечение реализации мероприятий с участием граждан старшего поколения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ВОЛОГОДСКОЙ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 июня 2025 г. N 840</w:t>
      </w:r>
    </w:p>
    <w:p>
      <w:pPr>
        <w:pStyle w:val="2"/>
        <w:jc w:val="center"/>
      </w:pPr>
      <w:r>
        <w:rPr>
          <w:sz w:val="20"/>
        </w:rPr>
      </w:r>
    </w:p>
    <w:p>
      <w:pPr>
        <w:pStyle w:val="2"/>
        <w:jc w:val="center"/>
      </w:pPr>
      <w:r>
        <w:rPr>
          <w:sz w:val="20"/>
        </w:rPr>
        <w:t xml:space="preserve">ОБ УТВЕРЖДЕНИИ ПОРЯДКА ПРЕДОСТАВЛЕНИЯ СУБСИДИИ ОБЩЕСТВЕННЫМ</w:t>
      </w:r>
    </w:p>
    <w:p>
      <w:pPr>
        <w:pStyle w:val="2"/>
        <w:jc w:val="center"/>
      </w:pPr>
      <w:r>
        <w:rPr>
          <w:sz w:val="20"/>
        </w:rPr>
        <w:t xml:space="preserve">ОБЪЕДИНЕНИЯМ НА ОБЕСПЕЧЕНИЕ РЕАЛИЗАЦИИ МЕРОПРИЯТИЙ</w:t>
      </w:r>
    </w:p>
    <w:p>
      <w:pPr>
        <w:pStyle w:val="2"/>
        <w:jc w:val="center"/>
      </w:pPr>
      <w:r>
        <w:rPr>
          <w:sz w:val="20"/>
        </w:rPr>
        <w:t xml:space="preserve">С УЧАСТИЕМ ГРАЖДАН СТАРШЕГО ПОКОЛЕНИЯ В 2025 ГОДУ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01.08.2025 N 1099)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Бюджетного кодекса Российской Федерации, </w:t>
      </w:r>
      <w:hyperlink w:history="0" r:id="rId10"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 октября 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1" w:tooltip="Постановление Правительства Вологодской области от 04.07.2016 N 590 (ред. от 16.12.2024) &quot;О некоторых вопросах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вместе с &quot;Правилами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с изм. и доп., вст {КонсультантПлюс}">
        <w:r>
          <w:rPr>
            <w:sz w:val="20"/>
            <w:color w:val="0000ff"/>
          </w:rPr>
          <w:t xml:space="preserve">постановлением</w:t>
        </w:r>
      </w:hyperlink>
      <w:r>
        <w:rPr>
          <w:sz w:val="20"/>
        </w:rPr>
        <w:t xml:space="preserve"> Правительства области от 4 июля 2016 года N 590 "О некоторых вопросах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w:t>
      </w:r>
      <w:hyperlink w:history="0" r:id="rId12" w:tooltip="Постановление Правительства Вологодской области от 27.05.2019 N 491 (ред. от 02.12.2025) &quot;О государственной программе &quot;Создание условий для развития гражданского общества и потенциала молодежи в Вологодской области&quot; (вместе с &quot;Государственной программой &quot;Создание условий для развития гражданского общества и потенциала молодежи в Вологодской области&quot; (далее - государственная программа)&quot;, &quot;Правилами предоставления и распределения субсидий бюджетам муниципальных образований области на реализацию Программы комп {КонсультантПлюс}">
        <w:r>
          <w:rPr>
            <w:sz w:val="20"/>
            <w:color w:val="0000ff"/>
          </w:rPr>
          <w:t xml:space="preserve">постановлением</w:t>
        </w:r>
      </w:hyperlink>
      <w:r>
        <w:rPr>
          <w:sz w:val="20"/>
        </w:rPr>
        <w:t xml:space="preserve"> Правительства области от 27 мая 2019 года N 491 "О государственной программе "Создание условий для развития гражданского общества и потенциала молодежи в Вологодской области" Правительство области постановляет:</w:t>
      </w:r>
    </w:p>
    <w:p>
      <w:pPr>
        <w:pStyle w:val="0"/>
        <w:spacing w:before="200" w:lineRule="auto"/>
        <w:ind w:firstLine="540"/>
        <w:jc w:val="both"/>
      </w:pPr>
      <w:r>
        <w:rPr>
          <w:sz w:val="20"/>
        </w:rPr>
        <w:t xml:space="preserve">1. Утвердить </w:t>
      </w:r>
      <w:hyperlink w:history="0" w:anchor="P29" w:tooltip="ПОРЯДОК">
        <w:r>
          <w:rPr>
            <w:sz w:val="20"/>
            <w:color w:val="0000ff"/>
          </w:rPr>
          <w:t xml:space="preserve">Порядок</w:t>
        </w:r>
      </w:hyperlink>
      <w:r>
        <w:rPr>
          <w:sz w:val="20"/>
        </w:rPr>
        <w:t xml:space="preserve"> предоставления субсидий общественным объединениям на обеспечение реализации мероприятий с участием граждан старшего поколения в 2025 году (прилагается).</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Председатель Правительства области</w:t>
      </w:r>
    </w:p>
    <w:p>
      <w:pPr>
        <w:pStyle w:val="0"/>
        <w:jc w:val="right"/>
      </w:pPr>
      <w:r>
        <w:rPr>
          <w:sz w:val="20"/>
        </w:rPr>
        <w:t xml:space="preserve">А.М.МОРДВИНОВ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области</w:t>
      </w:r>
    </w:p>
    <w:p>
      <w:pPr>
        <w:pStyle w:val="0"/>
        <w:jc w:val="right"/>
      </w:pPr>
      <w:r>
        <w:rPr>
          <w:sz w:val="20"/>
        </w:rPr>
        <w:t xml:space="preserve">от 2 июня 2025 г. N 840</w:t>
      </w:r>
    </w:p>
    <w:p>
      <w:pPr>
        <w:pStyle w:val="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ПРЕДОСТАВЛЕНИЯ СУБСИДИЙ ОБЩЕСТВЕННЫМ ОБЪЕДИНЕНИЯМ</w:t>
      </w:r>
    </w:p>
    <w:p>
      <w:pPr>
        <w:pStyle w:val="2"/>
        <w:jc w:val="center"/>
      </w:pPr>
      <w:r>
        <w:rPr>
          <w:sz w:val="20"/>
        </w:rPr>
        <w:t xml:space="preserve">НА ОБЕСПЕЧЕНИЕ РЕАЛИЗАЦИИ МЕРОПРИЯТИЙ С УЧАСТИЕМ ГРАЖДАН</w:t>
      </w:r>
    </w:p>
    <w:p>
      <w:pPr>
        <w:pStyle w:val="2"/>
        <w:jc w:val="center"/>
      </w:pPr>
      <w:r>
        <w:rPr>
          <w:sz w:val="20"/>
        </w:rPr>
        <w:t xml:space="preserve">СТАРШЕГО ПОКОЛЕНИЯ В 2025 ГОДУ (ДАЛЕЕ - ПОРЯДОК)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01.08.2025 N 1099)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Порядок определяет порядок проведения отбора общественных объединений для предоставления субсидии на финансовое обеспечение затрат на проведение мероприятий с участием граждан старшего поколения (далее - субсидия), цели, условия и порядок предоставления субсидии, требования к отчетности, требования об осуществлении контроля (мониторинга) за соблюдением условий и порядка предоставления субсидии и ответственность за их нарушение.</w:t>
      </w:r>
    </w:p>
    <w:p>
      <w:pPr>
        <w:pStyle w:val="0"/>
        <w:jc w:val="both"/>
      </w:pPr>
      <w:r>
        <w:rPr>
          <w:sz w:val="20"/>
        </w:rPr>
      </w:r>
    </w:p>
    <w:p>
      <w:pPr>
        <w:pStyle w:val="2"/>
        <w:outlineLvl w:val="1"/>
        <w:jc w:val="center"/>
      </w:pPr>
      <w:r>
        <w:rPr>
          <w:sz w:val="20"/>
        </w:rPr>
        <w:t xml:space="preserve">I. Общие положения о предоставлении Субсидии</w:t>
      </w:r>
    </w:p>
    <w:p>
      <w:pPr>
        <w:pStyle w:val="0"/>
        <w:jc w:val="both"/>
      </w:pPr>
      <w:r>
        <w:rPr>
          <w:sz w:val="20"/>
        </w:rPr>
      </w:r>
    </w:p>
    <w:bookmarkStart w:id="41" w:name="P41"/>
    <w:bookmarkEnd w:id="41"/>
    <w:p>
      <w:pPr>
        <w:pStyle w:val="0"/>
        <w:ind w:firstLine="540"/>
        <w:jc w:val="both"/>
      </w:pPr>
      <w:r>
        <w:rPr>
          <w:sz w:val="20"/>
        </w:rPr>
        <w:t xml:space="preserve">1.1. Целью предоставления субсидии является осуществление в 2025 году государственной поддержки общественных объединений путем предоставления субсидии на финансовое обеспечение затрат на обеспечение реализации мероприятий с участием граждан старшего поколения.</w:t>
      </w:r>
    </w:p>
    <w:p>
      <w:pPr>
        <w:pStyle w:val="0"/>
        <w:spacing w:before="200" w:lineRule="auto"/>
        <w:ind w:firstLine="540"/>
        <w:jc w:val="both"/>
      </w:pPr>
      <w:r>
        <w:rPr>
          <w:sz w:val="20"/>
        </w:rPr>
        <w:t xml:space="preserve">В целях настоящего Порядка к старшему поколению относятся лица, достигшие возраста 65 и 60 лет (соответственно мужчины и женщины).</w:t>
      </w:r>
    </w:p>
    <w:p>
      <w:pPr>
        <w:pStyle w:val="0"/>
        <w:spacing w:before="200" w:lineRule="auto"/>
        <w:ind w:firstLine="540"/>
        <w:jc w:val="both"/>
      </w:pPr>
      <w:r>
        <w:rPr>
          <w:sz w:val="20"/>
        </w:rPr>
        <w:t xml:space="preserve">Реализация мероприятий должна быть осуществлена не позднее истечения календарного года, следующего за годом предоставления субсидии.</w:t>
      </w:r>
    </w:p>
    <w:p>
      <w:pPr>
        <w:pStyle w:val="0"/>
        <w:spacing w:before="200" w:lineRule="auto"/>
        <w:ind w:firstLine="540"/>
        <w:jc w:val="both"/>
      </w:pPr>
      <w:r>
        <w:rPr>
          <w:sz w:val="20"/>
        </w:rPr>
        <w:t xml:space="preserve">1.2. Органом исполнительной государственной власти,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является Министерство внутренней политики области (далее - уполномоченный орган, главный распорядитель как получатель бюджетных средств).</w:t>
      </w:r>
    </w:p>
    <w:p>
      <w:pPr>
        <w:pStyle w:val="0"/>
        <w:spacing w:before="200" w:lineRule="auto"/>
        <w:ind w:firstLine="540"/>
        <w:jc w:val="both"/>
      </w:pPr>
      <w:r>
        <w:rPr>
          <w:sz w:val="20"/>
        </w:rPr>
        <w:t xml:space="preserve">Субсидия предоставляется в пределах доведенных до главного распорядителя как получателя бюджетных средств лимитов бюджетных обязательств.</w:t>
      </w:r>
    </w:p>
    <w:p>
      <w:pPr>
        <w:pStyle w:val="0"/>
        <w:spacing w:before="200" w:lineRule="auto"/>
        <w:ind w:firstLine="540"/>
        <w:jc w:val="both"/>
      </w:pPr>
      <w:r>
        <w:rPr>
          <w:sz w:val="20"/>
        </w:rPr>
        <w:t xml:space="preserve">1.3. Предоставление субсидий осуществляется за счет бюджетных ассигнований, предусмотренных в областном бюджете и (или) сводной бюджетной росписи на реализацию регионального проекта "Предоставление финансовой поддержки социально ориентированным некоммерческим организациям и иным институтам гражданского общества" государственной </w:t>
      </w:r>
      <w:hyperlink w:history="0" r:id="rId14" w:tooltip="Постановление Правительства Вологодской области от 27.05.2019 N 491 (ред. от 02.12.2025) &quot;О государственной программе &quot;Создание условий для развития гражданского общества и потенциала молодежи в Вологодской области&quot; (вместе с &quot;Государственной программой &quot;Создание условий для развития гражданского общества и потенциала молодежи в Вологодской области&quot; (далее - государственная программа)&quot;, &quot;Правилами предоставления и распределения субсидий бюджетам муниципальных образований области на реализацию Программы комп {КонсультантПлюс}">
        <w:r>
          <w:rPr>
            <w:sz w:val="20"/>
            <w:color w:val="0000ff"/>
          </w:rPr>
          <w:t xml:space="preserve">программы</w:t>
        </w:r>
      </w:hyperlink>
      <w:r>
        <w:rPr>
          <w:sz w:val="20"/>
        </w:rPr>
        <w:t xml:space="preserve"> "Создание условий для развития гражданского общества и потенциала молодежи в Вологодской области", утвержденной постановлением Правительства области от 27 мая 2019 года N 491.</w:t>
      </w:r>
    </w:p>
    <w:p>
      <w:pPr>
        <w:pStyle w:val="0"/>
        <w:spacing w:before="200" w:lineRule="auto"/>
        <w:ind w:firstLine="540"/>
        <w:jc w:val="both"/>
      </w:pPr>
      <w:r>
        <w:rPr>
          <w:sz w:val="20"/>
        </w:rPr>
        <w:t xml:space="preserve">1.4. Субсидия предоставляется на финансовое обеспечение затрат.</w:t>
      </w:r>
    </w:p>
    <w:p>
      <w:pPr>
        <w:pStyle w:val="0"/>
        <w:spacing w:before="200" w:lineRule="auto"/>
        <w:ind w:firstLine="540"/>
        <w:jc w:val="both"/>
      </w:pPr>
      <w:r>
        <w:rPr>
          <w:sz w:val="20"/>
        </w:rPr>
        <w:t xml:space="preserve">1.5. Информация о субсидиях размещается на Портале бюджетной системы Российской Федерации в информационно-телекоммуникационной сети "Интернет" (далее соответственно - Портал, сеть "Интернет") (в разделе единого портала)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II. Условия и порядок предоставления субсидии</w:t>
      </w:r>
    </w:p>
    <w:p>
      <w:pPr>
        <w:pStyle w:val="0"/>
        <w:jc w:val="both"/>
      </w:pPr>
      <w:r>
        <w:rPr>
          <w:sz w:val="20"/>
        </w:rPr>
      </w:r>
    </w:p>
    <w:bookmarkStart w:id="52" w:name="P52"/>
    <w:bookmarkEnd w:id="52"/>
    <w:p>
      <w:pPr>
        <w:pStyle w:val="0"/>
        <w:ind w:firstLine="540"/>
        <w:jc w:val="both"/>
      </w:pPr>
      <w:r>
        <w:rPr>
          <w:sz w:val="20"/>
        </w:rPr>
        <w:t xml:space="preserve">2.1. Получателями субсидии являются общественные объединения, состоящие на учете в налоговых органах на территории Вологодской области, обладающие структурными подразделениями (действующими в рамках единого устава в качестве юридических лиц) не менее чем в 75% муниципальных районов, муниципальных округов и городских округов Вологодской области, и осуществляющие в соответствии с уставом деятельность, направленную на защиту гражданских, социально-экономических, трудовых, личных прав и свобод представителей старшего поколения россиян, обеспечении их достойного положения в обществе и формирование в обществе уважительного отношения к старшему поколению граждан России.</w:t>
      </w:r>
    </w:p>
    <w:p>
      <w:pPr>
        <w:pStyle w:val="0"/>
        <w:spacing w:before="200" w:lineRule="auto"/>
        <w:ind w:firstLine="540"/>
        <w:jc w:val="both"/>
      </w:pPr>
      <w:r>
        <w:rPr>
          <w:sz w:val="20"/>
        </w:rPr>
        <w:t xml:space="preserve">2.2. Отбор получателей субсидий для предоставления субсидии (далее также - отбор) осуществляется путем запроса предложений.</w:t>
      </w:r>
    </w:p>
    <w:p>
      <w:pPr>
        <w:pStyle w:val="0"/>
        <w:spacing w:before="200" w:lineRule="auto"/>
        <w:ind w:firstLine="540"/>
        <w:jc w:val="both"/>
      </w:pPr>
      <w:r>
        <w:rPr>
          <w:sz w:val="20"/>
        </w:rPr>
        <w:t xml:space="preserve">Взаимодействие с заявителями при проведении отбора осуществляется на Портале предоставления мер финансовой государственной поддержки государственной интегрированной информационной системы управления общественными финансами "Электронный бюджет" единого портала в информационно-телекоммуникационной сети "Интернет" (</w:t>
      </w:r>
      <w:hyperlink w:history="0" r:id="rId15">
        <w:r>
          <w:rPr>
            <w:sz w:val="20"/>
            <w:color w:val="0000ff"/>
          </w:rPr>
          <w:t xml:space="preserve">https://promote.budget.gov.ru</w:t>
        </w:r>
      </w:hyperlink>
      <w:r>
        <w:rPr>
          <w:sz w:val="20"/>
        </w:rPr>
        <w:t xml:space="preserve">) (далее соответственно - Портал, система "Электронный бюджет").</w:t>
      </w:r>
    </w:p>
    <w:p>
      <w:pPr>
        <w:pStyle w:val="0"/>
        <w:spacing w:before="200" w:lineRule="auto"/>
        <w:ind w:firstLine="540"/>
        <w:jc w:val="both"/>
      </w:pPr>
      <w:r>
        <w:rPr>
          <w:sz w:val="20"/>
        </w:rPr>
        <w:t xml:space="preserve">2.3. Объявление о проведении отбора размещается на Портале и на официальном сайте Правительства области в информационно-телекоммуникационной сети "Интернет" (</w:t>
      </w:r>
      <w:hyperlink w:history="0" r:id="rId16">
        <w:r>
          <w:rPr>
            <w:sz w:val="20"/>
            <w:color w:val="0000ff"/>
          </w:rPr>
          <w:t xml:space="preserve">https://vologda-oblast.ru</w:t>
        </w:r>
      </w:hyperlink>
      <w:r>
        <w:rPr>
          <w:sz w:val="20"/>
        </w:rPr>
        <w:t xml:space="preserve">) (далее - официальный сайт).</w:t>
      </w:r>
    </w:p>
    <w:p>
      <w:pPr>
        <w:pStyle w:val="0"/>
        <w:spacing w:before="200" w:lineRule="auto"/>
        <w:ind w:firstLine="540"/>
        <w:jc w:val="both"/>
      </w:pPr>
      <w:r>
        <w:rPr>
          <w:sz w:val="20"/>
        </w:rPr>
        <w:t xml:space="preserve">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Объявление о проведении отбора содержит следующую информацию:</w:t>
      </w:r>
    </w:p>
    <w:p>
      <w:pPr>
        <w:pStyle w:val="0"/>
        <w:spacing w:before="200" w:lineRule="auto"/>
        <w:ind w:firstLine="540"/>
        <w:jc w:val="both"/>
      </w:pPr>
      <w:r>
        <w:rPr>
          <w:sz w:val="20"/>
        </w:rPr>
        <w:t xml:space="preserve">а) дата размещения объявления о проведении отбора на Портале и на официальном сайте;</w:t>
      </w:r>
    </w:p>
    <w:p>
      <w:pPr>
        <w:pStyle w:val="0"/>
        <w:spacing w:before="200" w:lineRule="auto"/>
        <w:ind w:firstLine="540"/>
        <w:jc w:val="both"/>
      </w:pPr>
      <w:r>
        <w:rPr>
          <w:sz w:val="20"/>
        </w:rPr>
        <w:t xml:space="preserve">б) сроки проведения отбора;</w:t>
      </w:r>
    </w:p>
    <w:p>
      <w:pPr>
        <w:pStyle w:val="0"/>
        <w:spacing w:before="200" w:lineRule="auto"/>
        <w:ind w:firstLine="540"/>
        <w:jc w:val="both"/>
      </w:pPr>
      <w:r>
        <w:rPr>
          <w:sz w:val="20"/>
        </w:rPr>
        <w:t xml:space="preserve">в) даты начала подачи и окончания приема заявок;</w:t>
      </w:r>
    </w:p>
    <w:p>
      <w:pPr>
        <w:pStyle w:val="0"/>
        <w:spacing w:before="200" w:lineRule="auto"/>
        <w:ind w:firstLine="540"/>
        <w:jc w:val="both"/>
      </w:pPr>
      <w:r>
        <w:rPr>
          <w:sz w:val="20"/>
        </w:rPr>
        <w:t xml:space="preserve">г) наименование, место нахождения, почтовый адрес, адрес электронной почты главного распорядителя как получателя бюджетных средств;</w:t>
      </w:r>
    </w:p>
    <w:p>
      <w:pPr>
        <w:pStyle w:val="0"/>
        <w:spacing w:before="200" w:lineRule="auto"/>
        <w:ind w:firstLine="540"/>
        <w:jc w:val="both"/>
      </w:pPr>
      <w:r>
        <w:rPr>
          <w:sz w:val="20"/>
        </w:rPr>
        <w:t xml:space="preserve">д) результат предоставления субсидии, характеристика результата;</w:t>
      </w:r>
    </w:p>
    <w:p>
      <w:pPr>
        <w:pStyle w:val="0"/>
        <w:spacing w:before="200" w:lineRule="auto"/>
        <w:ind w:firstLine="540"/>
        <w:jc w:val="both"/>
      </w:pPr>
      <w:r>
        <w:rPr>
          <w:sz w:val="20"/>
        </w:rPr>
        <w:t xml:space="preserve">е) доменное имя и (или) указатели страниц государственной информационной системы в сети "Интернет" (</w:t>
      </w:r>
      <w:hyperlink w:history="0" r:id="rId17">
        <w:r>
          <w:rPr>
            <w:sz w:val="20"/>
            <w:color w:val="0000ff"/>
          </w:rPr>
          <w:t xml:space="preserve">https://promote.budget.gov.ru</w:t>
        </w:r>
      </w:hyperlink>
      <w:r>
        <w:rPr>
          <w:sz w:val="20"/>
        </w:rPr>
        <w:t xml:space="preserve">);</w:t>
      </w:r>
    </w:p>
    <w:p>
      <w:pPr>
        <w:pStyle w:val="0"/>
        <w:spacing w:before="200" w:lineRule="auto"/>
        <w:ind w:firstLine="540"/>
        <w:jc w:val="both"/>
      </w:pPr>
      <w:r>
        <w:rPr>
          <w:sz w:val="20"/>
        </w:rPr>
        <w:t xml:space="preserve">ж) требования к участникам отбора и к перечню документов, представляемых участниками отбора для подтверждения их соответствия указанным требованиям;</w:t>
      </w:r>
    </w:p>
    <w:p>
      <w:pPr>
        <w:pStyle w:val="0"/>
        <w:spacing w:before="200" w:lineRule="auto"/>
        <w:ind w:firstLine="540"/>
        <w:jc w:val="both"/>
      </w:pPr>
      <w:r>
        <w:rPr>
          <w:sz w:val="20"/>
        </w:rPr>
        <w:t xml:space="preserve">з) категории и критерии отбора получателей субсидии согласно </w:t>
      </w:r>
      <w:hyperlink w:history="0" w:anchor="P52" w:tooltip="2.1. Получателями субсидии являются общественные объединения, состоящие на учете в налоговых органах на территории Вологодской области, обладающие структурными подразделениями (действующими в рамках единого устава в качестве юридических лиц) не менее чем в 75% муниципальных районов, муниципальных округов и городских округов Вологодской области, и осуществляющие в соответствии с уставом деятельность, направленную на защиту гражданских, социально-экономических, трудовых, личных прав и свобод представителей...">
        <w:r>
          <w:rPr>
            <w:sz w:val="20"/>
            <w:color w:val="0000ff"/>
          </w:rPr>
          <w:t xml:space="preserve">пункту 2.1</w:t>
        </w:r>
      </w:hyperlink>
      <w:r>
        <w:rPr>
          <w:sz w:val="20"/>
        </w:rPr>
        <w:t xml:space="preserve"> настоящего Порядка;</w:t>
      </w:r>
    </w:p>
    <w:p>
      <w:pPr>
        <w:pStyle w:val="0"/>
        <w:spacing w:before="200" w:lineRule="auto"/>
        <w:ind w:firstLine="540"/>
        <w:jc w:val="both"/>
      </w:pPr>
      <w:r>
        <w:rPr>
          <w:sz w:val="20"/>
        </w:rPr>
        <w:t xml:space="preserve">и) порядок подачи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к)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л) правила рассмотрения и оценки заявок;</w:t>
      </w:r>
    </w:p>
    <w:p>
      <w:pPr>
        <w:pStyle w:val="0"/>
        <w:spacing w:before="200" w:lineRule="auto"/>
        <w:ind w:firstLine="540"/>
        <w:jc w:val="both"/>
      </w:pPr>
      <w:r>
        <w:rPr>
          <w:sz w:val="20"/>
        </w:rPr>
        <w:t xml:space="preserve">м) порядок возврата заявок на доработку;</w:t>
      </w:r>
    </w:p>
    <w:p>
      <w:pPr>
        <w:pStyle w:val="0"/>
        <w:spacing w:before="200" w:lineRule="auto"/>
        <w:ind w:firstLine="540"/>
        <w:jc w:val="both"/>
      </w:pPr>
      <w:r>
        <w:rPr>
          <w:sz w:val="20"/>
        </w:rPr>
        <w:t xml:space="preserve">н)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о) порядок оценки заявок;</w:t>
      </w:r>
    </w:p>
    <w:p>
      <w:pPr>
        <w:pStyle w:val="0"/>
        <w:spacing w:before="200" w:lineRule="auto"/>
        <w:ind w:firstLine="540"/>
        <w:jc w:val="both"/>
      </w:pPr>
      <w:r>
        <w:rPr>
          <w:sz w:val="20"/>
        </w:rPr>
        <w:t xml:space="preserve">п) объем распределяемой субсидии в рамках отбора, порядок расчета размера субсидии, правила распределения субсидии по результатам отбора;</w:t>
      </w:r>
    </w:p>
    <w:p>
      <w:pPr>
        <w:pStyle w:val="0"/>
        <w:spacing w:before="200" w:lineRule="auto"/>
        <w:ind w:firstLine="540"/>
        <w:jc w:val="both"/>
      </w:pPr>
      <w:r>
        <w:rPr>
          <w:sz w:val="20"/>
        </w:rPr>
        <w:t xml:space="preserve">р)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с) срок, в течение которого победитель (победители) отбора должен (должны) подписать договор о предоставлении субсидии;</w:t>
      </w:r>
    </w:p>
    <w:p>
      <w:pPr>
        <w:pStyle w:val="0"/>
        <w:spacing w:before="200" w:lineRule="auto"/>
        <w:ind w:firstLine="540"/>
        <w:jc w:val="both"/>
      </w:pPr>
      <w:r>
        <w:rPr>
          <w:sz w:val="20"/>
        </w:rPr>
        <w:t xml:space="preserve">т) условия признания победителя (победителей) отбора уклонившимся (уклонившимися) от заключения договора о предоставлении субсидии;</w:t>
      </w:r>
    </w:p>
    <w:p>
      <w:pPr>
        <w:pStyle w:val="0"/>
        <w:spacing w:before="200" w:lineRule="auto"/>
        <w:ind w:firstLine="540"/>
        <w:jc w:val="both"/>
      </w:pPr>
      <w:r>
        <w:rPr>
          <w:sz w:val="20"/>
        </w:rPr>
        <w:t xml:space="preserve">у) сроки размещения документа об итогах проведения отбора на Портале и на официальном сайте.</w:t>
      </w:r>
    </w:p>
    <w:p>
      <w:pPr>
        <w:pStyle w:val="0"/>
        <w:spacing w:before="200" w:lineRule="auto"/>
        <w:ind w:firstLine="540"/>
        <w:jc w:val="both"/>
      </w:pPr>
      <w:r>
        <w:rPr>
          <w:sz w:val="20"/>
        </w:rPr>
        <w:t xml:space="preserve">Внесение изменений в объявление о проведении отбора осуществляется не позднее наступления даты окончания приема заявок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изменение способа отбора получателей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00" w:lineRule="auto"/>
        <w:ind w:firstLine="540"/>
        <w:jc w:val="both"/>
      </w:pPr>
      <w:r>
        <w:rPr>
          <w:sz w:val="20"/>
        </w:rPr>
        <w:t xml:space="preserve">2.4. Проведение отбора может быть отменено уполномоченным органом до даты окончания срока подачи заявок в случае уменьшения ранее доведенных лимитов бюджетных обязательств, приводящего к невозможности проведения отбора и предоставления субсидии.</w:t>
      </w:r>
    </w:p>
    <w:p>
      <w:pPr>
        <w:pStyle w:val="0"/>
        <w:spacing w:before="200" w:lineRule="auto"/>
        <w:ind w:firstLine="540"/>
        <w:jc w:val="both"/>
      </w:pPr>
      <w:r>
        <w:rPr>
          <w:sz w:val="20"/>
        </w:rPr>
        <w:t xml:space="preserve">Объявление об отмене отбора размещается уполномоченным органом на Портале и на официальном сайте не позднее чем за 1 рабочий день до даты окончания срока подачи заявок участниками отбора. Объявление об отмене отбора формируется в системе "Электронный бюджет", подписывается усиленной квалифицированной электронной подписью руководителя уполномоченного органа (или уполномоченного лица)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Портале. Участники отбора, подавшие заявки, информируются об отмене проведения отбора в срок не позднее 1 рабочего дня со дня формирования объявления об отмене проведения отбора путем формирования уведомления в системе "Электронный бюджет".</w:t>
      </w:r>
    </w:p>
    <w:p>
      <w:pPr>
        <w:pStyle w:val="0"/>
        <w:spacing w:before="200" w:lineRule="auto"/>
        <w:ind w:firstLine="540"/>
        <w:jc w:val="both"/>
      </w:pPr>
      <w:r>
        <w:rPr>
          <w:sz w:val="20"/>
        </w:rPr>
        <w:t xml:space="preserve">Отбор признается несостоявшимся в следующих случаях:</w:t>
      </w:r>
    </w:p>
    <w:p>
      <w:pPr>
        <w:pStyle w:val="0"/>
        <w:spacing w:before="200" w:lineRule="auto"/>
        <w:ind w:firstLine="540"/>
        <w:jc w:val="both"/>
      </w:pPr>
      <w:r>
        <w:rPr>
          <w:sz w:val="20"/>
        </w:rPr>
        <w:t xml:space="preserve">по окончании срока подачи заявок не подано ни одной заявки;</w:t>
      </w:r>
    </w:p>
    <w:p>
      <w:pPr>
        <w:pStyle w:val="0"/>
        <w:spacing w:before="200" w:lineRule="auto"/>
        <w:ind w:firstLine="540"/>
        <w:jc w:val="both"/>
      </w:pPr>
      <w:r>
        <w:rPr>
          <w:sz w:val="20"/>
        </w:rPr>
        <w:t xml:space="preserve">по результатам рассмотрения заявок отклонены все заявки.</w:t>
      </w:r>
    </w:p>
    <w:p>
      <w:pPr>
        <w:pStyle w:val="0"/>
        <w:spacing w:before="200" w:lineRule="auto"/>
        <w:ind w:firstLine="540"/>
        <w:jc w:val="both"/>
      </w:pPr>
      <w:r>
        <w:rPr>
          <w:sz w:val="20"/>
        </w:rPr>
        <w:t xml:space="preserve">Информация о признании отбора несостоявшимся размещается на Портале и на официальном сайте в течение 5 рабочих дней после окончания срока приема заявок.</w:t>
      </w:r>
    </w:p>
    <w:p>
      <w:pPr>
        <w:pStyle w:val="0"/>
        <w:spacing w:before="200" w:lineRule="auto"/>
        <w:ind w:firstLine="540"/>
        <w:jc w:val="both"/>
      </w:pPr>
      <w:r>
        <w:rPr>
          <w:sz w:val="20"/>
        </w:rPr>
        <w:t xml:space="preserve">В период приема заявок, указанный в объявлении о проведении отбора, уполномоченный орган предоставляет разъяснения положений объявления о проведении отбора путем проведения консультаций и направления информационных сообщений на адрес электронной почты участников отбора.</w:t>
      </w:r>
    </w:p>
    <w:bookmarkStart w:id="90" w:name="P90"/>
    <w:bookmarkEnd w:id="90"/>
    <w:p>
      <w:pPr>
        <w:pStyle w:val="0"/>
        <w:spacing w:before="200" w:lineRule="auto"/>
        <w:ind w:firstLine="540"/>
        <w:jc w:val="both"/>
      </w:pPr>
      <w:r>
        <w:rPr>
          <w:sz w:val="20"/>
        </w:rPr>
        <w:t xml:space="preserve">2.5. Субсидия предоставляется при соблюдении следующих требований к заявителю:</w:t>
      </w:r>
    </w:p>
    <w:bookmarkStart w:id="91" w:name="P91"/>
    <w:bookmarkEnd w:id="91"/>
    <w:p>
      <w:pPr>
        <w:pStyle w:val="0"/>
        <w:spacing w:before="200" w:lineRule="auto"/>
        <w:ind w:firstLine="540"/>
        <w:jc w:val="both"/>
      </w:pPr>
      <w:r>
        <w:rPr>
          <w:sz w:val="20"/>
        </w:rPr>
        <w:t xml:space="preserve">2.5.1. заявитель на дату рассмотрения заявки о предоставлении субсидии и на дату заключения соглашения:</w:t>
      </w:r>
    </w:p>
    <w:p>
      <w:pPr>
        <w:pStyle w:val="0"/>
        <w:spacing w:before="200" w:lineRule="auto"/>
        <w:ind w:firstLine="540"/>
        <w:jc w:val="both"/>
      </w:pPr>
      <w:r>
        <w:rPr>
          <w:sz w:val="20"/>
        </w:rPr>
        <w:t xml:space="preserve">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w:history="0" r:id="rId18" w:tooltip="Приказ Минфина России от 26.05.2022 N 83н &quot;Об утверждении Перечня государств и территорий, используемых для промежуточного (офшорного) владения активами в Российской Федерации&quot; (Зарегистрировано в Минюсте России 27.06.2022 N 69021) {КонсультантПлюс}">
        <w:r>
          <w:rPr>
            <w:sz w:val="20"/>
            <w:color w:val="0000ff"/>
          </w:rPr>
          <w:t xml:space="preserve">перечень</w:t>
        </w:r>
      </w:hyperlink>
      <w:r>
        <w:rPr>
          <w:sz w:val="20"/>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б)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в) не находится в составляемых в рамках реализации полномочий, предусмотренных </w:t>
      </w:r>
      <w:hyperlink w:history="0" r:id="rId1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г) не получает в году предоставления субсидии средства из областного бюджета в соответствии с иными правовыми актами области на цели, установленные настоящим Порядком;</w:t>
      </w:r>
    </w:p>
    <w:p>
      <w:pPr>
        <w:pStyle w:val="0"/>
        <w:spacing w:before="200" w:lineRule="auto"/>
        <w:ind w:firstLine="540"/>
        <w:jc w:val="both"/>
      </w:pPr>
      <w:r>
        <w:rPr>
          <w:sz w:val="20"/>
        </w:rPr>
        <w:t xml:space="preserve">д) не является иностранным агентом в соответствии с Федеральным </w:t>
      </w:r>
      <w:hyperlink w:history="0" r:id="rId2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е)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w:t>
      </w:r>
    </w:p>
    <w:p>
      <w:pPr>
        <w:pStyle w:val="0"/>
        <w:spacing w:before="200" w:lineRule="auto"/>
        <w:ind w:firstLine="540"/>
        <w:jc w:val="both"/>
      </w:pPr>
      <w:r>
        <w:rPr>
          <w:sz w:val="20"/>
        </w:rPr>
        <w:t xml:space="preserve">з) у заявителя на едином налоговом счете отсутствует или не превышает размер, определенный </w:t>
      </w:r>
      <w:hyperlink w:history="0" r:id="rId21"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2.5.2. на первое число месяца подачи заявки у заявителя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Вологодской областью.</w:t>
      </w:r>
    </w:p>
    <w:bookmarkStart w:id="101" w:name="P101"/>
    <w:bookmarkEnd w:id="101"/>
    <w:p>
      <w:pPr>
        <w:pStyle w:val="0"/>
        <w:spacing w:before="200" w:lineRule="auto"/>
        <w:ind w:firstLine="540"/>
        <w:jc w:val="both"/>
      </w:pPr>
      <w:r>
        <w:rPr>
          <w:sz w:val="20"/>
        </w:rPr>
        <w:t xml:space="preserve">2.6. Для участия в отборе заявители подают на Портале заявку в электронной форме посредством заполнения соответствующих экранных форм веб-интерфейса и представляют следующие электронные копии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а) </w:t>
      </w:r>
      <w:hyperlink w:history="0" w:anchor="P239" w:tooltip="ИНФОРМАЦИЯ">
        <w:r>
          <w:rPr>
            <w:sz w:val="20"/>
            <w:color w:val="0000ff"/>
          </w:rPr>
          <w:t xml:space="preserve">информацию</w:t>
        </w:r>
      </w:hyperlink>
      <w:r>
        <w:rPr>
          <w:sz w:val="20"/>
        </w:rPr>
        <w:t xml:space="preserve"> для участия в отборе по форме согласно приложению 1 к настоящему Порядку;</w:t>
      </w:r>
    </w:p>
    <w:p>
      <w:pPr>
        <w:pStyle w:val="0"/>
        <w:spacing w:before="200" w:lineRule="auto"/>
        <w:ind w:firstLine="540"/>
        <w:jc w:val="both"/>
      </w:pPr>
      <w:r>
        <w:rPr>
          <w:sz w:val="20"/>
        </w:rPr>
        <w:t xml:space="preserve">б) копию устава заявителя со всеми изменениями к нему или устава заявителя в последней редакции (в случае утверждения устава в новой редакции представляется копия устава в новой редакции с приложением копий изменений и дополнений в устав, принятых после утверждения устава в новой редакции);</w:t>
      </w:r>
    </w:p>
    <w:p>
      <w:pPr>
        <w:pStyle w:val="0"/>
        <w:spacing w:before="200" w:lineRule="auto"/>
        <w:ind w:firstLine="540"/>
        <w:jc w:val="both"/>
      </w:pPr>
      <w:r>
        <w:rPr>
          <w:sz w:val="20"/>
        </w:rPr>
        <w:t xml:space="preserve">в) справку, подтверждающую отсутствие у заявителя на первое число месяца подачи заявки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просроченной (неурегулированной) задолженности по денежным обязательствам перед Вологодской областью по рекомендуемой форме, установленной Министерством финансов области;</w:t>
      </w:r>
    </w:p>
    <w:p>
      <w:pPr>
        <w:pStyle w:val="0"/>
        <w:spacing w:before="200" w:lineRule="auto"/>
        <w:ind w:firstLine="540"/>
        <w:jc w:val="both"/>
      </w:pPr>
      <w:r>
        <w:rPr>
          <w:sz w:val="20"/>
        </w:rPr>
        <w:t xml:space="preserve">г) </w:t>
      </w:r>
      <w:hyperlink w:history="0" w:anchor="P304" w:tooltip="ПЕРЕЧЕНЬ">
        <w:r>
          <w:rPr>
            <w:sz w:val="20"/>
            <w:color w:val="0000ff"/>
          </w:rPr>
          <w:t xml:space="preserve">перечень</w:t>
        </w:r>
      </w:hyperlink>
      <w:r>
        <w:rPr>
          <w:sz w:val="20"/>
        </w:rPr>
        <w:t xml:space="preserve"> затрат на выполнение мероприятий, на реализацию которых запрашивается субсидия, по форме согласно приложению 2 к настоящему Порядку (далее - Перечень затрат), предусматривающий затраты на реализацию мероприятий, включенных в план мероприятий, указанный в </w:t>
      </w:r>
      <w:hyperlink w:history="0" w:anchor="P106" w:tooltip="д) план мероприятий, на реализацию которых запрашивается субсидия, по форме согласно приложению 3 к настоящему Порядку (далее - План мероприятий), содержащий перечень мероприятий, соответствующих видам уставной деятельности заявителя, планируемое количество участников этих мероприятий, относящихся к старшему поколению, которое должно быть не менее 100 человек, а также сроки реализации мероприятий, которые не могут быть позднее истечения календарного года, следующего за годом предоставления субсидии;">
        <w:r>
          <w:rPr>
            <w:sz w:val="20"/>
            <w:color w:val="0000ff"/>
          </w:rPr>
          <w:t xml:space="preserve">подпункте "д"</w:t>
        </w:r>
      </w:hyperlink>
      <w:r>
        <w:rPr>
          <w:sz w:val="20"/>
        </w:rPr>
        <w:t xml:space="preserve"> настоящего пункта;</w:t>
      </w:r>
    </w:p>
    <w:bookmarkStart w:id="106" w:name="P106"/>
    <w:bookmarkEnd w:id="106"/>
    <w:p>
      <w:pPr>
        <w:pStyle w:val="0"/>
        <w:spacing w:before="200" w:lineRule="auto"/>
        <w:ind w:firstLine="540"/>
        <w:jc w:val="both"/>
      </w:pPr>
      <w:r>
        <w:rPr>
          <w:sz w:val="20"/>
        </w:rPr>
        <w:t xml:space="preserve">д) </w:t>
      </w:r>
      <w:hyperlink w:history="0" w:anchor="P378" w:tooltip="ПЛАН">
        <w:r>
          <w:rPr>
            <w:sz w:val="20"/>
            <w:color w:val="0000ff"/>
          </w:rPr>
          <w:t xml:space="preserve">план</w:t>
        </w:r>
      </w:hyperlink>
      <w:r>
        <w:rPr>
          <w:sz w:val="20"/>
        </w:rPr>
        <w:t xml:space="preserve"> мероприятий, на реализацию которых запрашивается субсидия, по форме согласно приложению 3 к настоящему Порядку (далее - План мероприятий), содержащий перечень мероприятий, соответствующих видам уставной деятельности заявителя, планируемое количество участников этих мероприятий, относящихся к старшему поколению, которое должно быть не менее 100 человек, а также сроки реализации мероприятий, которые не могут быть позднее истечения календарного года, следующего за годом предоставления субсидии;</w:t>
      </w:r>
    </w:p>
    <w:p>
      <w:pPr>
        <w:pStyle w:val="0"/>
        <w:spacing w:before="200" w:lineRule="auto"/>
        <w:ind w:firstLine="540"/>
        <w:jc w:val="both"/>
      </w:pPr>
      <w:r>
        <w:rPr>
          <w:sz w:val="20"/>
        </w:rPr>
        <w:t xml:space="preserve">е) </w:t>
      </w:r>
      <w:hyperlink w:history="0" w:anchor="P439" w:tooltip="СОГЛАСИЕ">
        <w:r>
          <w:rPr>
            <w:sz w:val="20"/>
            <w:color w:val="0000ff"/>
          </w:rPr>
          <w:t xml:space="preserve">согласие</w:t>
        </w:r>
      </w:hyperlink>
      <w:r>
        <w:rPr>
          <w:sz w:val="20"/>
        </w:rPr>
        <w:t xml:space="preserve"> заявителя на осуществление проверки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порядка и условий предоставления субсидии в соответствии со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по форме согласно приложению 4 к настоящему Порядку.</w:t>
      </w:r>
    </w:p>
    <w:p>
      <w:pPr>
        <w:pStyle w:val="0"/>
        <w:spacing w:before="200" w:lineRule="auto"/>
        <w:ind w:firstLine="540"/>
        <w:jc w:val="both"/>
      </w:pPr>
      <w:r>
        <w:rPr>
          <w:sz w:val="20"/>
        </w:rPr>
        <w:t xml:space="preserve">Подтверждение соответствия требованиям, определенным </w:t>
      </w:r>
      <w:hyperlink w:history="0" w:anchor="P91" w:tooltip="2.5.1. заявитель на дату рассмотрения заявки о предоставлении субсидии и на дату заключения соглашения:">
        <w:r>
          <w:rPr>
            <w:sz w:val="20"/>
            <w:color w:val="0000ff"/>
          </w:rPr>
          <w:t xml:space="preserve">подпунктом 2.5.1 пункт 2.5</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заявителем в электронном виде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руководителя заявителя или уполномоченного им лица.</w:t>
      </w:r>
    </w:p>
    <w:p>
      <w:pPr>
        <w:pStyle w:val="0"/>
        <w:spacing w:before="200" w:lineRule="auto"/>
        <w:ind w:firstLine="540"/>
        <w:jc w:val="both"/>
      </w:pPr>
      <w:r>
        <w:rPr>
          <w:sz w:val="20"/>
        </w:rPr>
        <w:t xml:space="preserve">Датой представления заявителем заявки считается дата подписания заявителем заявки с присвоением ей регистрационного номера на Портале.</w:t>
      </w:r>
    </w:p>
    <w:p>
      <w:pPr>
        <w:pStyle w:val="0"/>
        <w:spacing w:before="200" w:lineRule="auto"/>
        <w:ind w:firstLine="540"/>
        <w:jc w:val="both"/>
      </w:pPr>
      <w:r>
        <w:rPr>
          <w:sz w:val="20"/>
        </w:rPr>
        <w:t xml:space="preserve">Уполномоченный орган не вправе требовать от участника отбора представления документов и информации в целях подтверждения соответствия участника отбора требованиям, установленным настоящим Порядком,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w:t>
      </w:r>
    </w:p>
    <w:bookmarkStart w:id="112" w:name="P112"/>
    <w:bookmarkEnd w:id="112"/>
    <w:p>
      <w:pPr>
        <w:pStyle w:val="0"/>
        <w:spacing w:before="200" w:lineRule="auto"/>
        <w:ind w:firstLine="540"/>
        <w:jc w:val="both"/>
      </w:pPr>
      <w:r>
        <w:rPr>
          <w:sz w:val="20"/>
        </w:rPr>
        <w:t xml:space="preserve">2.7. Доступ уполномоченному органу в системе "Электронный бюджет" к заявкам для их рассмотрения открывается с даты начала приема заявок.</w:t>
      </w:r>
    </w:p>
    <w:p>
      <w:pPr>
        <w:pStyle w:val="0"/>
        <w:spacing w:before="200" w:lineRule="auto"/>
        <w:ind w:firstLine="540"/>
        <w:jc w:val="both"/>
      </w:pPr>
      <w:r>
        <w:rPr>
          <w:sz w:val="20"/>
        </w:rPr>
        <w:t xml:space="preserve">Уполномоченный орган:</w:t>
      </w:r>
    </w:p>
    <w:p>
      <w:pPr>
        <w:pStyle w:val="0"/>
        <w:spacing w:before="200" w:lineRule="auto"/>
        <w:ind w:firstLine="540"/>
        <w:jc w:val="both"/>
      </w:pPr>
      <w:r>
        <w:rPr>
          <w:sz w:val="20"/>
        </w:rPr>
        <w:t xml:space="preserve">при наличии технической возможности автоматически проверяет участника отбора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на предмет соответствия требованиям, установленными </w:t>
      </w:r>
      <w:hyperlink w:history="0" w:anchor="P52" w:tooltip="2.1. Получателями субсидии являются общественные объединения, состоящие на учете в налоговых органах на территории Вологодской области, обладающие структурными подразделениями (действующими в рамках единого устава в качестве юридических лиц) не менее чем в 75% муниципальных районов, муниципальных округов и городских округов Вологодской области, и осуществляющие в соответствии с уставом деятельность, направленную на защиту гражданских, социально-экономических, трудовых, личных прав и свобод представителей...">
        <w:r>
          <w:rPr>
            <w:sz w:val="20"/>
            <w:color w:val="0000ff"/>
          </w:rPr>
          <w:t xml:space="preserve">пунктом 2.1</w:t>
        </w:r>
      </w:hyperlink>
      <w:r>
        <w:rPr>
          <w:sz w:val="20"/>
        </w:rPr>
        <w:t xml:space="preserve">, </w:t>
      </w:r>
      <w:hyperlink w:history="0" w:anchor="P91" w:tooltip="2.5.1. заявитель на дату рассмотрения заявки о предоставлении субсидии и на дату заключения соглашения:">
        <w:r>
          <w:rPr>
            <w:sz w:val="20"/>
            <w:color w:val="0000ff"/>
          </w:rPr>
          <w:t xml:space="preserve">подпунктом 2.5.1 пункта 2.5</w:t>
        </w:r>
      </w:hyperlink>
      <w:r>
        <w:rPr>
          <w:sz w:val="20"/>
        </w:rPr>
        <w:t xml:space="preserve"> настоящего Порядка, а также обеспечивает проверку предъявляемых к субсидированию планируемых затрат и мероприятий, планируемых к реализации за счет средств субсидии - требованиям, установленным </w:t>
      </w:r>
      <w:hyperlink w:history="0" w:anchor="P41" w:tooltip="1.1. Целью предоставления субсидии является осуществление в 2025 году государственной поддержки общественных объединений путем предоставления субсидии на финансовое обеспечение затрат на обеспечение реализации мероприятий с участием граждан старшего поколения.">
        <w:r>
          <w:rPr>
            <w:sz w:val="20"/>
            <w:color w:val="0000ff"/>
          </w:rPr>
          <w:t xml:space="preserve">пунктом 1.1</w:t>
        </w:r>
      </w:hyperlink>
      <w:r>
        <w:rPr>
          <w:sz w:val="20"/>
        </w:rPr>
        <w:t xml:space="preserve"> настоящего Порядка, а представленных документов - требованиям </w:t>
      </w:r>
      <w:hyperlink w:history="0" w:anchor="P101" w:tooltip="2.6. Для участия в отборе заявители подают на Портале заявку в электронной форме посредством заполнения соответствующих экранных форм веб-интерфейса и представляют следующие электронные копии документов (документов на бумажном носителе, преобразованных в электронную форму путем сканирования):">
        <w:r>
          <w:rPr>
            <w:sz w:val="20"/>
            <w:color w:val="0000ff"/>
          </w:rPr>
          <w:t xml:space="preserve">пункта 2.6</w:t>
        </w:r>
      </w:hyperlink>
      <w:r>
        <w:rPr>
          <w:sz w:val="20"/>
        </w:rPr>
        <w:t xml:space="preserve"> настоящего Порядка;</w:t>
      </w:r>
    </w:p>
    <w:p>
      <w:pPr>
        <w:pStyle w:val="0"/>
        <w:spacing w:before="200" w:lineRule="auto"/>
        <w:ind w:firstLine="540"/>
        <w:jc w:val="both"/>
      </w:pPr>
      <w:r>
        <w:rPr>
          <w:sz w:val="20"/>
        </w:rPr>
        <w:t xml:space="preserve">при отсутствии технической возможности осуществления автоматической проверки в системе "Электронный бюджет" осуществляет проверку представленных документов путем анализа сведений, содержащихся в представленных документах, подтверждения данных сведений путем сверки с информацией, имеющейся в распоряжении уполномоченного органа, в том числе с использованием общедоступной информации, размещенной на официальных ресурсах органов государственной власти, других организаций;</w:t>
      </w:r>
    </w:p>
    <w:p>
      <w:pPr>
        <w:pStyle w:val="0"/>
        <w:spacing w:before="200" w:lineRule="auto"/>
        <w:ind w:firstLine="540"/>
        <w:jc w:val="both"/>
      </w:pPr>
      <w:r>
        <w:rPr>
          <w:sz w:val="20"/>
        </w:rPr>
        <w:t xml:space="preserve">направляет запросы в государственное казенное учреждение Вологодской области "Областное казначейство" (далее - ГКУ ВО "Областное казначейство") для получения информации об отсутствии у заявителей просроченной задолженности по возврату в областной бюджет субсидий, бюджетных инвестиций, предоставленных в соответствии с правовыми актами области, иной просроченной (неурегулированной) задолженности по денежным обязательствам перед Вологодской областью на первое число месяца подачи заявки.</w:t>
      </w:r>
    </w:p>
    <w:p>
      <w:pPr>
        <w:pStyle w:val="0"/>
        <w:spacing w:before="200" w:lineRule="auto"/>
        <w:ind w:firstLine="540"/>
        <w:jc w:val="both"/>
      </w:pPr>
      <w:r>
        <w:rPr>
          <w:sz w:val="20"/>
        </w:rPr>
        <w:t xml:space="preserve">ГКУ ВО "Областное казначейство" в срок не более 2 рабочих дней со дня получения запроса направляет в уполномоченный орган информацию об отсутствии/наличии у заявителей просроченной задолженности по возврату в областной бюджет субсидий, бюджетных инвестиций, предоставленных в соответствии с правовыми актами области, иной просроченной (неурегулированной) задолженности по денежным обязательствам перед Вологодской областью на первое число месяца подачи заявлений.</w:t>
      </w:r>
    </w:p>
    <w:p>
      <w:pPr>
        <w:pStyle w:val="0"/>
        <w:spacing w:before="200" w:lineRule="auto"/>
        <w:ind w:firstLine="540"/>
        <w:jc w:val="both"/>
      </w:pPr>
      <w:r>
        <w:rPr>
          <w:sz w:val="20"/>
        </w:rPr>
        <w:t xml:space="preserve">Уполномоченный орган не позднее 1 рабочего дня, следующего за днем окончания срока подачи заявок на участие в конкурсе, установленного в объявлении о проведении конкурса, обеспечивает формирование, подписание и размещение протокола вскрытия заявок, а также размещение указанного протокола на Портале и официальном сайте.</w:t>
      </w:r>
    </w:p>
    <w:p>
      <w:pPr>
        <w:pStyle w:val="0"/>
        <w:jc w:val="both"/>
      </w:pPr>
      <w:r>
        <w:rPr>
          <w:sz w:val="20"/>
        </w:rPr>
        <w:t xml:space="preserve">(в ред. </w:t>
      </w:r>
      <w:hyperlink w:history="0" r:id="rId24"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rPr>
        <w:t xml:space="preserve"> Правительства Вологодской области от 01.08.2025 N 1099)</w:t>
      </w:r>
    </w:p>
    <w:p>
      <w:pPr>
        <w:pStyle w:val="0"/>
        <w:spacing w:before="200" w:lineRule="auto"/>
        <w:ind w:firstLine="540"/>
        <w:jc w:val="both"/>
      </w:pPr>
      <w:r>
        <w:rPr>
          <w:sz w:val="20"/>
        </w:rPr>
        <w:t xml:space="preserve">Протокол вскрытия заявок формируется на Портале автоматически и подписывается усиленной квалифицированной электронной подписью руководителя уполномоченного органа (или уполномоченного лица) в системе "Электронный бюджет", а также не позднее 1 рабочего дня, следующего за днем его подписания, размещается на Портале и на официальном сайте.</w:t>
      </w:r>
    </w:p>
    <w:p>
      <w:pPr>
        <w:pStyle w:val="0"/>
        <w:spacing w:before="200" w:lineRule="auto"/>
        <w:ind w:firstLine="540"/>
        <w:jc w:val="both"/>
      </w:pPr>
      <w:r>
        <w:rPr>
          <w:sz w:val="20"/>
        </w:rPr>
        <w:t xml:space="preserve">2.8. Заявитель вправе в любое время до окончания отбора отозвать заявку путем формирования на Портале в электронной форме уведомления об отзыве заявки, на основании которого уполномоченный орган прекращает рассмотрение заявки. Уведомление об отзыве заявки подписывается усиленной квалифицированной электронной подписью руководителя заявителя или уполномоченного им лица.</w:t>
      </w:r>
    </w:p>
    <w:p>
      <w:pPr>
        <w:pStyle w:val="0"/>
        <w:spacing w:before="200" w:lineRule="auto"/>
        <w:ind w:firstLine="540"/>
        <w:jc w:val="both"/>
      </w:pPr>
      <w:r>
        <w:rPr>
          <w:sz w:val="20"/>
        </w:rPr>
        <w:t xml:space="preserve">Возврат заявки осуществляется автоматически после подписания участником отбора уведомления об отзыве заявки.</w:t>
      </w:r>
    </w:p>
    <w:p>
      <w:pPr>
        <w:pStyle w:val="0"/>
        <w:spacing w:before="200" w:lineRule="auto"/>
        <w:ind w:firstLine="540"/>
        <w:jc w:val="both"/>
      </w:pPr>
      <w:r>
        <w:rPr>
          <w:sz w:val="20"/>
        </w:rPr>
        <w:t xml:space="preserve">Внесение изменений в заявку допускается путем отзыва ранее направленной заявки и направления новой в сроки приема заявок. Датой подачи заявки в случае внесения в нее изменений будет считаться день подписания заявителем новой заявки с присвоением ей регистрационного номера на Портале.</w:t>
      </w:r>
    </w:p>
    <w:p>
      <w:pPr>
        <w:pStyle w:val="0"/>
        <w:spacing w:before="200" w:lineRule="auto"/>
        <w:ind w:firstLine="540"/>
        <w:jc w:val="both"/>
      </w:pPr>
      <w:r>
        <w:rPr>
          <w:sz w:val="20"/>
        </w:rPr>
        <w:t xml:space="preserve">Возврат заявок участникам отбора на доработку не осуществляется.</w:t>
      </w:r>
    </w:p>
    <w:bookmarkStart w:id="125" w:name="P125"/>
    <w:bookmarkEnd w:id="125"/>
    <w:p>
      <w:pPr>
        <w:pStyle w:val="0"/>
        <w:spacing w:before="200" w:lineRule="auto"/>
        <w:ind w:firstLine="540"/>
        <w:jc w:val="both"/>
      </w:pPr>
      <w:r>
        <w:rPr>
          <w:sz w:val="20"/>
        </w:rPr>
        <w:t xml:space="preserve">2.9. Субсидия предоставляется в объеме потребности, указанной в Перечне затрат, но не более размера бюджетных ассигнований, предусмотренных в законе области об областном бюджете на год предоставления субсидии и распределяемых в рамках отбора.</w:t>
      </w:r>
    </w:p>
    <w:p>
      <w:pPr>
        <w:pStyle w:val="0"/>
        <w:spacing w:before="200" w:lineRule="auto"/>
        <w:ind w:firstLine="540"/>
        <w:jc w:val="both"/>
      </w:pPr>
      <w:r>
        <w:rPr>
          <w:sz w:val="20"/>
        </w:rPr>
        <w:t xml:space="preserve">В случае недостаточности лимитов бюджетных обязательств для предоставления субсидии очередному заявителю в запрашиваемом им объеме решение о предоставлении субсидии принимается с письменного согласия указанного заявителя в размере нераспределенного остатка лимита бюджетных обязательств на предоставление субсидий.</w:t>
      </w:r>
    </w:p>
    <w:p>
      <w:pPr>
        <w:pStyle w:val="0"/>
        <w:spacing w:before="200" w:lineRule="auto"/>
        <w:ind w:firstLine="540"/>
        <w:jc w:val="both"/>
      </w:pPr>
      <w:r>
        <w:rPr>
          <w:sz w:val="20"/>
        </w:rPr>
        <w:t xml:space="preserve">Решение о предоставлении субсидии (об отклонении заявки и об отказе в предоставлении субсидии) принимается в виде правового акта уполномоченного органа.</w:t>
      </w:r>
    </w:p>
    <w:p>
      <w:pPr>
        <w:pStyle w:val="0"/>
        <w:spacing w:before="200" w:lineRule="auto"/>
        <w:ind w:firstLine="540"/>
        <w:jc w:val="both"/>
      </w:pPr>
      <w:r>
        <w:rPr>
          <w:sz w:val="20"/>
        </w:rPr>
        <w:t xml:space="preserve">Решение о предоставлении субсидии принимается в пределах лимитов бюджетных обязательств, доведенных до главного распорядителя как получателя бюджетных средств на дату рассмотрения заявок, и распределяемых между заявителями в порядке очередности регистрации заявок в системе "Электронный бюджет".</w:t>
      </w:r>
    </w:p>
    <w:p>
      <w:pPr>
        <w:pStyle w:val="0"/>
        <w:spacing w:before="200" w:lineRule="auto"/>
        <w:ind w:firstLine="540"/>
        <w:jc w:val="both"/>
      </w:pPr>
      <w:r>
        <w:rPr>
          <w:sz w:val="20"/>
        </w:rPr>
        <w:t xml:space="preserve">2.10. По результатам рассмотрения заявок, не позднее пяти рабочих дней со дня подписания протокола вскрытия заявок, уполномоченный орган обеспечивает формирование и подписание протокола подведения итогов отбора.</w:t>
      </w:r>
    </w:p>
    <w:p>
      <w:pPr>
        <w:pStyle w:val="0"/>
        <w:spacing w:before="200" w:lineRule="auto"/>
        <w:ind w:firstLine="540"/>
        <w:jc w:val="both"/>
      </w:pPr>
      <w:r>
        <w:rPr>
          <w:sz w:val="20"/>
        </w:rPr>
        <w:t xml:space="preserve">Протокол подведения итогов отбора формируется на Портале автоматически на основании результатов проверки, указанной в </w:t>
      </w:r>
      <w:hyperlink w:history="0" w:anchor="P112" w:tooltip="2.7. Доступ уполномоченному органу в системе &quot;Электронный бюджет&quot; к заявкам для их рассмотрения открывается с даты начала приема заявок.">
        <w:r>
          <w:rPr>
            <w:sz w:val="20"/>
            <w:color w:val="0000ff"/>
          </w:rPr>
          <w:t xml:space="preserve">пункте 2.7</w:t>
        </w:r>
      </w:hyperlink>
      <w:r>
        <w:rPr>
          <w:sz w:val="20"/>
        </w:rPr>
        <w:t xml:space="preserve"> настоящего Порядка, и подписывается усиленной квалифицированной электронной подписью руководителя уполномоченного органа (или уполномоченного лица) в системе "Электронный бюджет", а также не позднее 1 рабочего дня, следующего за днем его подписания, размещается на Портале и на официальном сайте.</w:t>
      </w:r>
    </w:p>
    <w:p>
      <w:pPr>
        <w:pStyle w:val="0"/>
        <w:spacing w:before="200" w:lineRule="auto"/>
        <w:ind w:firstLine="540"/>
        <w:jc w:val="both"/>
      </w:pPr>
      <w:r>
        <w:rPr>
          <w:sz w:val="20"/>
        </w:rPr>
        <w:t xml:space="preserve">Протокол подведения итогов отбора включает в себя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наименование получателя (получателей) субсидии, с которым заключается соглашение о предоставлении субсидии (далее - Соглашение), и размер предоставляемой ему субсидии.</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00" w:lineRule="auto"/>
        <w:ind w:firstLine="540"/>
        <w:jc w:val="both"/>
      </w:pPr>
      <w:r>
        <w:rPr>
          <w:sz w:val="20"/>
        </w:rPr>
        <w:t xml:space="preserve">В течение 10 рабочих дней со дня подписания протокола подведения итогов отбора уполномоченный орган обеспечивает подготовку проекта правового акта уполномоченного органа о предоставлении субсидии или об отклонении заявки и об отказе в предоставлении субсидии (далее - правовой акт уполномоченного органа).</w:t>
      </w:r>
    </w:p>
    <w:p>
      <w:pPr>
        <w:pStyle w:val="0"/>
        <w:spacing w:before="200" w:lineRule="auto"/>
        <w:ind w:firstLine="540"/>
        <w:jc w:val="both"/>
      </w:pPr>
      <w:r>
        <w:rPr>
          <w:sz w:val="20"/>
        </w:rPr>
        <w:t xml:space="preserve">В случае принятия решения о предоставлении заявителю субсидии уполномоченный орган в течение 10 рабочих дней со дня подписания правового акта уполномоченного органа о предоставлении субсидии обеспечивает подготовку проекта соглашения о предоставлении субсидии в системе "Электронный бюджет" по типовой форме, установленной Министерством финансов области, и направление его заявителю для подписания.</w:t>
      </w:r>
    </w:p>
    <w:p>
      <w:pPr>
        <w:pStyle w:val="0"/>
        <w:spacing w:before="200" w:lineRule="auto"/>
        <w:ind w:firstLine="540"/>
        <w:jc w:val="both"/>
      </w:pPr>
      <w:r>
        <w:rPr>
          <w:sz w:val="20"/>
        </w:rPr>
        <w:t xml:space="preserve">Внесение изменений в Соглашение производится в порядке, установленном Соглашением, и оформляется дополнительным соглашением к Соглашению в соответствии с приложением к Соглашению. Дополнительное соглашение к Соглашению заключается в системе "Электронный бюджет". Экземпляр дополнительного соглашения к Соглашению для подписания сторонами готовится уполномоченным органом.</w:t>
      </w:r>
    </w:p>
    <w:p>
      <w:pPr>
        <w:pStyle w:val="0"/>
        <w:spacing w:before="200" w:lineRule="auto"/>
        <w:ind w:firstLine="540"/>
        <w:jc w:val="both"/>
      </w:pPr>
      <w:r>
        <w:rPr>
          <w:sz w:val="20"/>
        </w:rPr>
        <w:t xml:space="preserve">Соглашение о предоставлении субсидии (далее - Соглашение) заключается при условии:</w:t>
      </w:r>
    </w:p>
    <w:p>
      <w:pPr>
        <w:pStyle w:val="0"/>
        <w:spacing w:before="200" w:lineRule="auto"/>
        <w:ind w:firstLine="540"/>
        <w:jc w:val="both"/>
      </w:pPr>
      <w:r>
        <w:rPr>
          <w:sz w:val="20"/>
        </w:rPr>
        <w:t xml:space="preserve">соответствия получателя субсидии на дату заключения соглашения требованиям, установленным </w:t>
      </w:r>
      <w:hyperlink w:history="0" w:anchor="P91" w:tooltip="2.5.1. заявитель на дату рассмотрения заявки о предоставлении субсидии и на дату заключения соглашения:">
        <w:r>
          <w:rPr>
            <w:sz w:val="20"/>
            <w:color w:val="0000ff"/>
          </w:rPr>
          <w:t xml:space="preserve">подпунктом 2.5.1 пункта 2.5</w:t>
        </w:r>
      </w:hyperlink>
      <w:r>
        <w:rPr>
          <w:sz w:val="20"/>
        </w:rPr>
        <w:t xml:space="preserve"> настоящего Порядка;</w:t>
      </w:r>
    </w:p>
    <w:p>
      <w:pPr>
        <w:pStyle w:val="0"/>
        <w:spacing w:before="200" w:lineRule="auto"/>
        <w:ind w:firstLine="540"/>
        <w:jc w:val="both"/>
      </w:pPr>
      <w:r>
        <w:rPr>
          <w:sz w:val="20"/>
        </w:rPr>
        <w:t xml:space="preserve">принятия получателем субсидии обязательств по достижению результата предоставления субсидии, предусмотренного в Соглашении, в соответствии с </w:t>
      </w:r>
      <w:hyperlink w:history="0" w:anchor="P168" w:tooltip="2.16. Результатом предоставления субсидии является реализация в полном объеме мероприятий Плана мероприятий, что определяется в количественном выражении, равном 1.">
        <w:r>
          <w:rPr>
            <w:sz w:val="20"/>
            <w:color w:val="0000ff"/>
          </w:rPr>
          <w:t xml:space="preserve">пунктом 2.16</w:t>
        </w:r>
      </w:hyperlink>
      <w:r>
        <w:rPr>
          <w:sz w:val="20"/>
        </w:rPr>
        <w:t xml:space="preserve"> настоящего Порядка, а также по представлению отчетности (информации) в соответствии с </w:t>
      </w:r>
      <w:hyperlink w:history="0" w:anchor="P192" w:tooltip="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
        <w:r>
          <w:rPr>
            <w:sz w:val="20"/>
            <w:color w:val="0000ff"/>
          </w:rPr>
          <w:t xml:space="preserve">пунктами 3.1</w:t>
        </w:r>
      </w:hyperlink>
      <w:r>
        <w:rPr>
          <w:sz w:val="20"/>
        </w:rPr>
        <w:t xml:space="preserve"> - </w:t>
      </w:r>
      <w:hyperlink w:history="0" w:anchor="P197" w:tooltip="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
        <w:r>
          <w:rPr>
            <w:sz w:val="20"/>
            <w:color w:val="0000ff"/>
          </w:rPr>
          <w:t xml:space="preserve">3.3</w:t>
        </w:r>
      </w:hyperlink>
      <w:r>
        <w:rPr>
          <w:sz w:val="20"/>
        </w:rPr>
        <w:t xml:space="preserve"> настоящего Порядка;</w:t>
      </w:r>
    </w:p>
    <w:p>
      <w:pPr>
        <w:pStyle w:val="0"/>
        <w:spacing w:before="200" w:lineRule="auto"/>
        <w:ind w:firstLine="540"/>
        <w:jc w:val="both"/>
      </w:pPr>
      <w:r>
        <w:rPr>
          <w:sz w:val="20"/>
        </w:rPr>
        <w:t xml:space="preserve">принятия получателем субсидии обязательств по использованию субсидии исключительно в соответствии с Перечнем затрат;</w:t>
      </w:r>
    </w:p>
    <w:p>
      <w:pPr>
        <w:pStyle w:val="0"/>
        <w:spacing w:before="200" w:lineRule="auto"/>
        <w:ind w:firstLine="540"/>
        <w:jc w:val="both"/>
      </w:pPr>
      <w:r>
        <w:rPr>
          <w:sz w:val="20"/>
        </w:rPr>
        <w:t xml:space="preserve">соблюдения получателем субсидии запрета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принятия получателем субсидии обязательств по включению в договоры (соглашения), заключенные в целях исполнения обязательств по Соглашению, лиц, являющихся поставщиками (подрядчиками, исполнителями) по договорам (соглашениям), заключенным в целях исполнения обязательств по Соглашению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условия о согласии на осуществление проверок, проводимых уполномоченным органом и органами государственного финансового контроля.</w:t>
      </w:r>
    </w:p>
    <w:p>
      <w:pPr>
        <w:pStyle w:val="0"/>
        <w:spacing w:before="200" w:lineRule="auto"/>
        <w:ind w:firstLine="540"/>
        <w:jc w:val="both"/>
      </w:pPr>
      <w:r>
        <w:rPr>
          <w:sz w:val="20"/>
        </w:rPr>
        <w:t xml:space="preserve">Для заключения Соглашения уполномоченный орган проводит проверку заявителя на соответствие требованиям, установленным </w:t>
      </w:r>
      <w:hyperlink w:history="0" w:anchor="P91" w:tooltip="2.5.1. заявитель на дату рассмотрения заявки о предоставлении субсидии и на дату заключения соглашения:">
        <w:r>
          <w:rPr>
            <w:sz w:val="20"/>
            <w:color w:val="0000ff"/>
          </w:rPr>
          <w:t xml:space="preserve">подпунктом 2.5.1 пункта 2.5</w:t>
        </w:r>
      </w:hyperlink>
      <w:r>
        <w:rPr>
          <w:sz w:val="20"/>
        </w:rPr>
        <w:t xml:space="preserve"> настоящего Порядка, по состоянию на дату заключения Соглашения. Указанная проверка проводится путем анализа сведений, содержащихся в представленных документах, подтверждения данных сведений путем сверки с информацией, имеющейся в распоряжении уполномоченного органа, в том числе с использованием общедоступной информации, размещенной на официальных ресурсах органов государственной власти, других организаций.</w:t>
      </w:r>
    </w:p>
    <w:p>
      <w:pPr>
        <w:pStyle w:val="0"/>
        <w:spacing w:before="200" w:lineRule="auto"/>
        <w:ind w:firstLine="540"/>
        <w:jc w:val="both"/>
      </w:pPr>
      <w:r>
        <w:rPr>
          <w:sz w:val="20"/>
        </w:rPr>
        <w:t xml:space="preserve">Уполномоченный орган отказывает в заключении Соглашения в случае, если на дату заключения Соглашения заявитель не соответствует требованиям, установленным в </w:t>
      </w:r>
      <w:hyperlink w:history="0" w:anchor="P91" w:tooltip="2.5.1. заявитель на дату рассмотрения заявки о предоставлении субсидии и на дату заключения соглашения:">
        <w:r>
          <w:rPr>
            <w:sz w:val="20"/>
            <w:color w:val="0000ff"/>
          </w:rPr>
          <w:t xml:space="preserve">подпункте 2.5.1 пункта 2.5</w:t>
        </w:r>
      </w:hyperlink>
      <w:r>
        <w:rPr>
          <w:sz w:val="20"/>
        </w:rPr>
        <w:t xml:space="preserve"> настоящего Порядка. Уполномоченный орган в течение 5 рабочих дней со дня выявления факта несоответствия получателя субсидии указанным требованиям, уведомляет заявителя об отказе в заключении Соглашения с указанием причин отказа способом, позволяющим подтвердить получение заявителем уведомления.</w:t>
      </w:r>
    </w:p>
    <w:p>
      <w:pPr>
        <w:pStyle w:val="0"/>
        <w:spacing w:before="200" w:lineRule="auto"/>
        <w:ind w:firstLine="540"/>
        <w:jc w:val="both"/>
      </w:pPr>
      <w:r>
        <w:rPr>
          <w:sz w:val="20"/>
        </w:rPr>
        <w:t xml:space="preserve">В случае неподписания заявителем Соглашения в срок, указанный в </w:t>
      </w:r>
      <w:hyperlink w:history="0" w:anchor="P158" w:tooltip="2.12. В случае принятия решения о предоставлении субсидии заявитель в течение 5 рабочих дней со дня получения проекта Соглашения в системе &quot;Электронный бюджет&quot; обеспечивает его подписание.">
        <w:r>
          <w:rPr>
            <w:sz w:val="20"/>
            <w:color w:val="0000ff"/>
          </w:rPr>
          <w:t xml:space="preserve">абзаце первом пункта 2.12</w:t>
        </w:r>
      </w:hyperlink>
      <w:r>
        <w:rPr>
          <w:sz w:val="20"/>
        </w:rPr>
        <w:t xml:space="preserve"> настоящего Порядка, он считается уклонившимся от заключения Соглашения, а субсидия не предоставляется, о чем уполномоченный орган в течение 10 рабочих дней со дня истечения указанного срока уведомляет заявителя способом, позволяющим подтвердить получение заявителем уведомления.</w:t>
      </w:r>
    </w:p>
    <w:p>
      <w:pPr>
        <w:pStyle w:val="0"/>
        <w:spacing w:before="200" w:lineRule="auto"/>
        <w:ind w:firstLine="540"/>
        <w:jc w:val="both"/>
      </w:pPr>
      <w:r>
        <w:rPr>
          <w:sz w:val="20"/>
        </w:rPr>
        <w:t xml:space="preserve">В случае отказа в заключении Соглашения или уклонении заявителя от заключения Соглашения уполномоченный орган вносит соответствующие изменения в правовой акт уполномоченного органа в течение 5 рабочих дней со дня отказа в заключении Соглашения или признания заявителя уклонившимся от заключения Соглашения.</w:t>
      </w:r>
    </w:p>
    <w:p>
      <w:pPr>
        <w:pStyle w:val="0"/>
        <w:spacing w:before="200" w:lineRule="auto"/>
        <w:ind w:firstLine="540"/>
        <w:jc w:val="both"/>
      </w:pPr>
      <w:r>
        <w:rPr>
          <w:sz w:val="20"/>
        </w:rPr>
        <w:t xml:space="preserve">2.11. Уполномоченный орган отклоняет заявку и отказывает в предоставлении субсидий по следующим основаниям:</w:t>
      </w:r>
    </w:p>
    <w:p>
      <w:pPr>
        <w:pStyle w:val="0"/>
        <w:spacing w:before="200" w:lineRule="auto"/>
        <w:ind w:firstLine="540"/>
        <w:jc w:val="both"/>
      </w:pPr>
      <w:r>
        <w:rPr>
          <w:sz w:val="20"/>
        </w:rPr>
        <w:t xml:space="preserve">несоответствие заявителя требованиям, установленным в </w:t>
      </w:r>
      <w:hyperlink w:history="0" w:anchor="P52" w:tooltip="2.1. Получателями субсидии являются общественные объединения, состоящие на учете в налоговых органах на территории Вологодской области, обладающие структурными подразделениями (действующими в рамках единого устава в качестве юридических лиц) не менее чем в 75% муниципальных районов, муниципальных округов и городских округов Вологодской области, и осуществляющие в соответствии с уставом деятельность, направленную на защиту гражданских, социально-экономических, трудовых, личных прав и свобод представителей...">
        <w:r>
          <w:rPr>
            <w:sz w:val="20"/>
            <w:color w:val="0000ff"/>
          </w:rPr>
          <w:t xml:space="preserve">пунктах 2.1</w:t>
        </w:r>
      </w:hyperlink>
      <w:r>
        <w:rPr>
          <w:sz w:val="20"/>
        </w:rPr>
        <w:t xml:space="preserve"> и </w:t>
      </w:r>
      <w:hyperlink w:history="0" w:anchor="P90" w:tooltip="2.5. Субсидия предоставляется при соблюдении следующих требований к заявителю:">
        <w:r>
          <w:rPr>
            <w:sz w:val="20"/>
            <w:color w:val="0000ff"/>
          </w:rPr>
          <w:t xml:space="preserve">2.5</w:t>
        </w:r>
      </w:hyperlink>
      <w:r>
        <w:rPr>
          <w:sz w:val="20"/>
        </w:rPr>
        <w:t xml:space="preserve"> настоящего Порядка;</w:t>
      </w:r>
    </w:p>
    <w:p>
      <w:pPr>
        <w:pStyle w:val="0"/>
        <w:spacing w:before="200" w:lineRule="auto"/>
        <w:ind w:firstLine="540"/>
        <w:jc w:val="both"/>
      </w:pPr>
      <w:r>
        <w:rPr>
          <w:sz w:val="20"/>
        </w:rPr>
        <w:t xml:space="preserve">несоответствие затрат, предъявленных к субсидированию, и (или) мероприятий, планируемых к реализации за счет средств субсидии, условиям </w:t>
      </w:r>
      <w:hyperlink w:history="0" w:anchor="P41" w:tooltip="1.1. Целью предоставления субсидии является осуществление в 2025 году государственной поддержки общественных объединений путем предоставления субсидии на финансовое обеспечение затрат на обеспечение реализации мероприятий с участием граждан старшего поколения.">
        <w:r>
          <w:rPr>
            <w:sz w:val="20"/>
            <w:color w:val="0000ff"/>
          </w:rPr>
          <w:t xml:space="preserve">пункта 1.1</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объявлении о проведении отбора, предусмотренных в </w:t>
      </w:r>
      <w:hyperlink w:history="0" w:anchor="P101" w:tooltip="2.6. Для участия в отборе заявители подают на Портале заявку в электронной форме посредством заполнения соответствующих экранных форм веб-интерфейса и представляют следующие электронные копии документов (документов на бумажном носителе, преобразованных в электронную форму путем сканирования):">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заявителем информации для участия в отборе и (или) документов требованиям, установленным в объявлении о проведении отбора;</w:t>
      </w:r>
    </w:p>
    <w:p>
      <w:pPr>
        <w:pStyle w:val="0"/>
        <w:spacing w:before="200" w:lineRule="auto"/>
        <w:ind w:firstLine="540"/>
        <w:jc w:val="both"/>
      </w:pPr>
      <w:r>
        <w:rPr>
          <w:sz w:val="20"/>
        </w:rPr>
        <w:t xml:space="preserve">недостоверность информации, содержащейся в документах, представленных заявителем, установление факта недостоверности представленной информации;</w:t>
      </w:r>
    </w:p>
    <w:p>
      <w:pPr>
        <w:pStyle w:val="0"/>
        <w:spacing w:before="200" w:lineRule="auto"/>
        <w:ind w:firstLine="540"/>
        <w:jc w:val="both"/>
      </w:pPr>
      <w:r>
        <w:rPr>
          <w:sz w:val="20"/>
        </w:rPr>
        <w:t xml:space="preserve">подача заявителем заявки после даты, определенной для подачи заявок;</w:t>
      </w:r>
    </w:p>
    <w:p>
      <w:pPr>
        <w:pStyle w:val="0"/>
        <w:spacing w:before="200" w:lineRule="auto"/>
        <w:ind w:firstLine="540"/>
        <w:jc w:val="both"/>
      </w:pPr>
      <w:r>
        <w:rPr>
          <w:sz w:val="20"/>
        </w:rPr>
        <w:t xml:space="preserve">отсутствие нераспределенных лимитов бюджетных обязательств, предусмотренных на предоставление субсидии.</w:t>
      </w:r>
    </w:p>
    <w:bookmarkStart w:id="158" w:name="P158"/>
    <w:bookmarkEnd w:id="158"/>
    <w:p>
      <w:pPr>
        <w:pStyle w:val="0"/>
        <w:spacing w:before="200" w:lineRule="auto"/>
        <w:ind w:firstLine="540"/>
        <w:jc w:val="both"/>
      </w:pPr>
      <w:r>
        <w:rPr>
          <w:sz w:val="20"/>
        </w:rPr>
        <w:t xml:space="preserve">2.12. В случае принятия решения о предоставлении субсидии заявитель в течение 5 рабочих дней со дня получения проекта Соглашения в системе "Электронный бюджет" обеспечивает его подписание.</w:t>
      </w:r>
    </w:p>
    <w:p>
      <w:pPr>
        <w:pStyle w:val="0"/>
        <w:spacing w:before="200" w:lineRule="auto"/>
        <w:ind w:firstLine="540"/>
        <w:jc w:val="both"/>
      </w:pPr>
      <w:r>
        <w:rPr>
          <w:sz w:val="20"/>
        </w:rPr>
        <w:t xml:space="preserve">Уполномоченный орган в срок не позднее 5 рабочих дней со дня подписания Соглашения со стороны заявителя обеспечивает заключение Соглашения со стороны уполномоченного органа.</w:t>
      </w:r>
    </w:p>
    <w:bookmarkStart w:id="160" w:name="P160"/>
    <w:bookmarkEnd w:id="160"/>
    <w:p>
      <w:pPr>
        <w:pStyle w:val="0"/>
        <w:spacing w:before="200" w:lineRule="auto"/>
        <w:ind w:firstLine="540"/>
        <w:jc w:val="both"/>
      </w:pPr>
      <w:r>
        <w:rPr>
          <w:sz w:val="20"/>
        </w:rPr>
        <w:t xml:space="preserve">2.13. В случае уменьшения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 уполномоченный орган в течение 7 рабочих дней со дня уменьшения ранее доведенных лимитов бюджетных обязательств на предоставление субсидии уведомляет об этом получателей субсидии и направляет почтовой связью или вручает заявителю (представителю заявителя) предложение о заключении дополнительного соглашения к Соглашению или о расторжении Соглашения при недостижении согласия по новым условиям, а также обеспечивает подготовку проекта дополнительного соглашения к Соглашению в системе "Электронный бюджет".</w:t>
      </w:r>
    </w:p>
    <w:p>
      <w:pPr>
        <w:pStyle w:val="0"/>
        <w:spacing w:before="200" w:lineRule="auto"/>
        <w:ind w:firstLine="540"/>
        <w:jc w:val="both"/>
      </w:pPr>
      <w:r>
        <w:rPr>
          <w:sz w:val="20"/>
        </w:rPr>
        <w:t xml:space="preserve">Уменьшение размера субсидии всем получателям субсидии, заключившим Соглашение, осуществляется пропорционально объемам субсидий, исчисленным в соответствии с </w:t>
      </w:r>
      <w:hyperlink w:history="0" w:anchor="P125" w:tooltip="2.9. Субсидия предоставляется в объеме потребности, указанной в Перечне затрат, но не более размера бюджетных ассигнований, предусмотренных в законе области об областном бюджете на год предоставления субсидии и распределяемых в рамках отбора.">
        <w:r>
          <w:rPr>
            <w:sz w:val="20"/>
            <w:color w:val="0000ff"/>
          </w:rPr>
          <w:t xml:space="preserve">пунктом 2.9</w:t>
        </w:r>
      </w:hyperlink>
      <w:r>
        <w:rPr>
          <w:sz w:val="20"/>
        </w:rPr>
        <w:t xml:space="preserve"> настоящего Порядка.</w:t>
      </w:r>
    </w:p>
    <w:p>
      <w:pPr>
        <w:pStyle w:val="0"/>
        <w:spacing w:before="200" w:lineRule="auto"/>
        <w:ind w:firstLine="540"/>
        <w:jc w:val="both"/>
      </w:pPr>
      <w:r>
        <w:rPr>
          <w:sz w:val="20"/>
        </w:rPr>
        <w:t xml:space="preserve">Получатель Субсидии в течение 5 рабочих дней со дня получения уведомления и дополнительного соглашения к Соглашению обеспечивает подписание этого дополнительного соглашения в системе "Электронный бюджет".</w:t>
      </w:r>
    </w:p>
    <w:p>
      <w:pPr>
        <w:pStyle w:val="0"/>
        <w:spacing w:before="200" w:lineRule="auto"/>
        <w:ind w:firstLine="540"/>
        <w:jc w:val="both"/>
      </w:pPr>
      <w:r>
        <w:rPr>
          <w:sz w:val="20"/>
        </w:rPr>
        <w:t xml:space="preserve">Уполномоченный орган в течение 5 рабочих дней после подписания дополнительного соглашения к Соглашению получателем Субсидии подписывает дополнительное соглашение к Соглашению усиленной квалифицированной электронной подписью руководителя уполномоченного органа (или уполномоченного лица) в системе "Электронный бюджет".</w:t>
      </w:r>
    </w:p>
    <w:p>
      <w:pPr>
        <w:pStyle w:val="0"/>
        <w:spacing w:before="200" w:lineRule="auto"/>
        <w:ind w:firstLine="540"/>
        <w:jc w:val="both"/>
      </w:pPr>
      <w:r>
        <w:rPr>
          <w:sz w:val="20"/>
        </w:rPr>
        <w:t xml:space="preserve">Дополнительное соглашение к Соглашению (в том числе дополнительное соглашение о расторжении Соглашения) заключается в соответствии с типовой формой, установленной Министерством финансов области, в системе "Электронный бюджет".</w:t>
      </w:r>
    </w:p>
    <w:p>
      <w:pPr>
        <w:pStyle w:val="0"/>
        <w:spacing w:before="200" w:lineRule="auto"/>
        <w:ind w:firstLine="540"/>
        <w:jc w:val="both"/>
      </w:pPr>
      <w:r>
        <w:rPr>
          <w:sz w:val="20"/>
        </w:rPr>
        <w:t xml:space="preserve">Проекты дополнительных соглашений к Соглашению, в том числе дополнительных соглашений о расторжении Соглашения, для подписания сторонами готовятся уполномоченным органом.</w:t>
      </w:r>
    </w:p>
    <w:p>
      <w:pPr>
        <w:pStyle w:val="0"/>
        <w:spacing w:before="200" w:lineRule="auto"/>
        <w:ind w:firstLine="540"/>
        <w:jc w:val="both"/>
      </w:pPr>
      <w:r>
        <w:rPr>
          <w:sz w:val="20"/>
        </w:rPr>
        <w:t xml:space="preserve">2.14. Основанием для заключения дополнительного соглашения о расторжении Соглашения не может быть инициатива получателя субсидии.</w:t>
      </w:r>
    </w:p>
    <w:p>
      <w:pPr>
        <w:pStyle w:val="0"/>
        <w:spacing w:before="200" w:lineRule="auto"/>
        <w:ind w:firstLine="540"/>
        <w:jc w:val="both"/>
      </w:pPr>
      <w:r>
        <w:rPr>
          <w:sz w:val="20"/>
        </w:rPr>
        <w:t xml:space="preserve">2.15. Уполномоченный орган одновременно с подписанием Соглашения формирует и утверждает План мероприятий по достижению результата предоставления субсидии по форме, установленной Министерством финансов Российской Федерации.</w:t>
      </w:r>
    </w:p>
    <w:bookmarkStart w:id="168" w:name="P168"/>
    <w:bookmarkEnd w:id="168"/>
    <w:p>
      <w:pPr>
        <w:pStyle w:val="0"/>
        <w:spacing w:before="200" w:lineRule="auto"/>
        <w:ind w:firstLine="540"/>
        <w:jc w:val="both"/>
      </w:pPr>
      <w:r>
        <w:rPr>
          <w:sz w:val="20"/>
        </w:rPr>
        <w:t xml:space="preserve">2.16. Результатом предоставления субсидии является реализация в полном объеме мероприятий Плана мероприятий, что определяется в количественном выражении, равном 1.</w:t>
      </w:r>
    </w:p>
    <w:p>
      <w:pPr>
        <w:pStyle w:val="0"/>
        <w:spacing w:before="200" w:lineRule="auto"/>
        <w:ind w:firstLine="540"/>
        <w:jc w:val="both"/>
      </w:pPr>
      <w:r>
        <w:rPr>
          <w:sz w:val="20"/>
        </w:rPr>
        <w:t xml:space="preserve">Характеристиками результата являются:</w:t>
      </w:r>
    </w:p>
    <w:p>
      <w:pPr>
        <w:pStyle w:val="0"/>
        <w:spacing w:before="200" w:lineRule="auto"/>
        <w:ind w:firstLine="540"/>
        <w:jc w:val="both"/>
      </w:pPr>
      <w:r>
        <w:rPr>
          <w:sz w:val="20"/>
        </w:rPr>
        <w:t xml:space="preserve">количество мероприятий, соответствующих направлениям уставной деятельности получателя субсидии;</w:t>
      </w:r>
    </w:p>
    <w:p>
      <w:pPr>
        <w:pStyle w:val="0"/>
        <w:spacing w:before="200" w:lineRule="auto"/>
        <w:ind w:firstLine="540"/>
        <w:jc w:val="both"/>
      </w:pPr>
      <w:r>
        <w:rPr>
          <w:sz w:val="20"/>
        </w:rPr>
        <w:t xml:space="preserve">количество участников мероприятий, при этом общее количество участников реализованных мероприятий должно быть не менее 100 человек.</w:t>
      </w:r>
    </w:p>
    <w:p>
      <w:pPr>
        <w:pStyle w:val="0"/>
        <w:jc w:val="both"/>
      </w:pPr>
      <w:r>
        <w:rPr>
          <w:sz w:val="20"/>
        </w:rPr>
        <w:t xml:space="preserve">(в ред. </w:t>
      </w:r>
      <w:hyperlink w:history="0" r:id="rId25"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rPr>
        <w:t xml:space="preserve"> Правительства Вологодской области от 01.08.2025 N 1099)</w:t>
      </w:r>
    </w:p>
    <w:p>
      <w:pPr>
        <w:pStyle w:val="0"/>
        <w:spacing w:before="200" w:lineRule="auto"/>
        <w:ind w:firstLine="540"/>
        <w:jc w:val="both"/>
      </w:pPr>
      <w:r>
        <w:rPr>
          <w:sz w:val="20"/>
        </w:rPr>
        <w:t xml:space="preserve">Значения характеристик результата включаются в Соглашение в соответствии с Планом мероприятий, представленным заявителем в составе заявки.</w:t>
      </w:r>
    </w:p>
    <w:p>
      <w:pPr>
        <w:pStyle w:val="0"/>
        <w:spacing w:before="200" w:lineRule="auto"/>
        <w:ind w:firstLine="540"/>
        <w:jc w:val="both"/>
      </w:pPr>
      <w:r>
        <w:rPr>
          <w:sz w:val="20"/>
        </w:rPr>
        <w:t xml:space="preserve">2.17. Субсидия перечисляется единовременно на основании правового акта уполномоченного органа о предоставлении субсидии и заключенного Соглашения с лицевого счета уполномоченного органа, открытого в Министерстве финансов области, на лицевой счет получателя субсидии, открытый в кредитной организации, в течение 30 календарных дней со дня заключения Соглашения.</w:t>
      </w:r>
    </w:p>
    <w:p>
      <w:pPr>
        <w:pStyle w:val="0"/>
        <w:jc w:val="both"/>
      </w:pPr>
      <w:r>
        <w:rPr>
          <w:sz w:val="20"/>
        </w:rPr>
        <w:t xml:space="preserve">(в ред. </w:t>
      </w:r>
      <w:hyperlink w:history="0" r:id="rId26"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rPr>
        <w:t xml:space="preserve"> Правительства Вологодской области от 01.08.2025 N 1099)</w:t>
      </w:r>
    </w:p>
    <w:p>
      <w:pPr>
        <w:pStyle w:val="0"/>
        <w:spacing w:before="200" w:lineRule="auto"/>
        <w:ind w:firstLine="540"/>
        <w:jc w:val="both"/>
      </w:pPr>
      <w:r>
        <w:rPr>
          <w:sz w:val="20"/>
        </w:rPr>
        <w:t xml:space="preserve">Абзац утратил силу. - </w:t>
      </w:r>
      <w:hyperlink w:history="0" r:id="rId27"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Постановление</w:t>
        </w:r>
      </w:hyperlink>
      <w:r>
        <w:rPr>
          <w:sz w:val="20"/>
        </w:rPr>
        <w:t xml:space="preserve"> Правительства Вологодской области от 01.08.2025 N 1099.</w:t>
      </w:r>
    </w:p>
    <w:p>
      <w:pPr>
        <w:pStyle w:val="0"/>
        <w:spacing w:before="200" w:lineRule="auto"/>
        <w:ind w:firstLine="540"/>
        <w:jc w:val="both"/>
      </w:pPr>
      <w:r>
        <w:rPr>
          <w:sz w:val="20"/>
        </w:rPr>
        <w:t xml:space="preserve">2.18. В случае установления факта нарушения получателем субсидии условий предоставления субсидии, в том числе в части достижения результата предоставления субсидии, а также целей и порядка предоставления субсидии уполномоченный орган направляет получателю субсидии требование о возврате субсидии в соответствии с </w:t>
      </w:r>
      <w:hyperlink w:history="0" w:anchor="P206" w:tooltip="IV. Требования об осуществлении контроля (мониторинга)">
        <w:r>
          <w:rPr>
            <w:sz w:val="20"/>
            <w:color w:val="0000ff"/>
          </w:rPr>
          <w:t xml:space="preserve">разделом IV</w:t>
        </w:r>
      </w:hyperlink>
      <w:r>
        <w:rPr>
          <w:sz w:val="20"/>
        </w:rPr>
        <w:t xml:space="preserve"> настоящего Порядка.</w:t>
      </w:r>
    </w:p>
    <w:p>
      <w:pPr>
        <w:pStyle w:val="0"/>
        <w:spacing w:before="200" w:lineRule="auto"/>
        <w:ind w:firstLine="540"/>
        <w:jc w:val="both"/>
      </w:pPr>
      <w:r>
        <w:rPr>
          <w:sz w:val="20"/>
        </w:rPr>
        <w:t xml:space="preserve">2.19. Получатель субсидии вправе обратиться в уполномоченный орган с обоснованным ходатайством об изменении Перечня затрат на любом этапе совершения расходов в течение периода расходования субсидии с приложением измененного Перечня затрат в соответствии с настоящим пунктом.</w:t>
      </w:r>
    </w:p>
    <w:p>
      <w:pPr>
        <w:pStyle w:val="0"/>
        <w:spacing w:before="200" w:lineRule="auto"/>
        <w:ind w:firstLine="540"/>
        <w:jc w:val="both"/>
      </w:pPr>
      <w:r>
        <w:rPr>
          <w:sz w:val="20"/>
        </w:rPr>
        <w:t xml:space="preserve">Уполномоченный орган в течение 20 рабочих дней со дня получения ходатайства рассматривает представленное ходатайство и согласовывает либо отказывает в согласовании изменения Перечня затрат.</w:t>
      </w:r>
    </w:p>
    <w:p>
      <w:pPr>
        <w:pStyle w:val="0"/>
        <w:spacing w:before="200" w:lineRule="auto"/>
        <w:ind w:firstLine="540"/>
        <w:jc w:val="both"/>
      </w:pPr>
      <w:r>
        <w:rPr>
          <w:sz w:val="20"/>
        </w:rPr>
        <w:t xml:space="preserve">Уполномоченный орган отказывает в согласовании изменения Перечня затрат в следующих случаях:</w:t>
      </w:r>
    </w:p>
    <w:p>
      <w:pPr>
        <w:pStyle w:val="0"/>
        <w:spacing w:before="200" w:lineRule="auto"/>
        <w:ind w:firstLine="540"/>
        <w:jc w:val="both"/>
      </w:pPr>
      <w:r>
        <w:rPr>
          <w:sz w:val="20"/>
        </w:rPr>
        <w:t xml:space="preserve">перераспределение расходов между статьями расходов приведет к превышению суммы предоставленной субсидии;</w:t>
      </w:r>
    </w:p>
    <w:p>
      <w:pPr>
        <w:pStyle w:val="0"/>
        <w:spacing w:before="200" w:lineRule="auto"/>
        <w:ind w:firstLine="540"/>
        <w:jc w:val="both"/>
      </w:pPr>
      <w:r>
        <w:rPr>
          <w:sz w:val="20"/>
        </w:rPr>
        <w:t xml:space="preserve">новые статьи расходов не соответствуют уставной деятельности получателя субсидии и (или) целям предоставления субсидии, указанным в настоящем Порядке, и (или) Плану мероприятий по достижению результата предоставления субсидии.</w:t>
      </w:r>
    </w:p>
    <w:p>
      <w:pPr>
        <w:pStyle w:val="0"/>
        <w:spacing w:before="200" w:lineRule="auto"/>
        <w:ind w:firstLine="540"/>
        <w:jc w:val="both"/>
      </w:pPr>
      <w:r>
        <w:rPr>
          <w:sz w:val="20"/>
        </w:rPr>
        <w:t xml:space="preserve">Уполномоченный орган в течение 10 рабочих дней со дня истечения срока рассмотрения ходатайства об изменении Перечня затрат направляет получателю субсидии соответствующее уведомление с указанием причин отказа согласования (в случае отказа) почтовой связью или вручает лично получателю (представителю получателя).</w:t>
      </w:r>
    </w:p>
    <w:p>
      <w:pPr>
        <w:pStyle w:val="0"/>
        <w:spacing w:before="200" w:lineRule="auto"/>
        <w:ind w:firstLine="540"/>
        <w:jc w:val="both"/>
      </w:pPr>
      <w:r>
        <w:rPr>
          <w:sz w:val="20"/>
        </w:rPr>
        <w:t xml:space="preserve">В случае принятия решения о согласовании изменения Перечня затрат уполномоченный орган обеспечивает заключение с получателем субсидии дополнительного соглашения к Соглашению в соответствии с </w:t>
      </w:r>
      <w:hyperlink w:history="0" w:anchor="P160" w:tooltip="2.13. В случае уменьшения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 уполномоченный орган в течение 7 рабочих дней со дня уменьшения ранее доведенных лимитов бюджетных обязательств на предоставление субсидии уведомляет об этом получателей субсидии и направляет почтовой связью или вручает заявителю (представителю заявителя) предложение о заключении дополнительного соглашения к Соглаше...">
        <w:r>
          <w:rPr>
            <w:sz w:val="20"/>
            <w:color w:val="0000ff"/>
          </w:rPr>
          <w:t xml:space="preserve">пунктом 2.13</w:t>
        </w:r>
      </w:hyperlink>
      <w:r>
        <w:rPr>
          <w:sz w:val="20"/>
        </w:rPr>
        <w:t xml:space="preserve"> настоящего Порядка.</w:t>
      </w:r>
    </w:p>
    <w:p>
      <w:pPr>
        <w:pStyle w:val="0"/>
        <w:spacing w:before="200" w:lineRule="auto"/>
        <w:ind w:firstLine="540"/>
        <w:jc w:val="both"/>
      </w:pPr>
      <w:r>
        <w:rPr>
          <w:sz w:val="20"/>
        </w:rPr>
        <w:t xml:space="preserve">2.20. В случае реорганизации, ликвидации получателя субсидии в период действия Соглашение получатель субсидии в течение 10 рабочих дней со дня внесения записи в Единый государственный реестр юридических лиц (индивидуальных предпринимателей) направляет в уполномоченный орган уведомление о реорганизации, ликвидации посредством личного представления либо направления по почте.</w:t>
      </w:r>
    </w:p>
    <w:p>
      <w:pPr>
        <w:pStyle w:val="0"/>
        <w:spacing w:before="200" w:lineRule="auto"/>
        <w:ind w:firstLine="540"/>
        <w:jc w:val="both"/>
      </w:pPr>
      <w:r>
        <w:rPr>
          <w:sz w:val="20"/>
        </w:rPr>
        <w:t xml:space="preserve">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по инициативе уполномоченного органа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Уполномоченный орган в течение 10 рабочих дней со дня получения уведомления о реорганизации, ликвидации получателя субсидии обеспечивает соответственно заключение дополнительного соглашения к Соглашению, дополнительного соглашения о расторжении Соглашения в системе "Электронный бюджет".</w:t>
      </w:r>
    </w:p>
    <w:p>
      <w:pPr>
        <w:pStyle w:val="0"/>
        <w:jc w:val="both"/>
      </w:pPr>
      <w:r>
        <w:rPr>
          <w:sz w:val="20"/>
        </w:rPr>
      </w:r>
    </w:p>
    <w:bookmarkStart w:id="190" w:name="P190"/>
    <w:bookmarkEnd w:id="190"/>
    <w:p>
      <w:pPr>
        <w:pStyle w:val="2"/>
        <w:outlineLvl w:val="1"/>
        <w:jc w:val="center"/>
      </w:pPr>
      <w:r>
        <w:rPr>
          <w:sz w:val="20"/>
        </w:rPr>
        <w:t xml:space="preserve">III. Требования к отчетности</w:t>
      </w:r>
    </w:p>
    <w:p>
      <w:pPr>
        <w:pStyle w:val="0"/>
        <w:jc w:val="both"/>
      </w:pPr>
      <w:r>
        <w:rPr>
          <w:sz w:val="20"/>
        </w:rPr>
      </w:r>
    </w:p>
    <w:bookmarkStart w:id="192" w:name="P192"/>
    <w:bookmarkEnd w:id="192"/>
    <w:p>
      <w:pPr>
        <w:pStyle w:val="0"/>
        <w:ind w:firstLine="540"/>
        <w:jc w:val="both"/>
      </w:pPr>
      <w:r>
        <w:rPr>
          <w:sz w:val="20"/>
        </w:rPr>
        <w:t xml:space="preserve">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Соглашением в соответствии с типовой формой, утвержденной Министерством финансов области.</w:t>
      </w:r>
    </w:p>
    <w:p>
      <w:pPr>
        <w:pStyle w:val="0"/>
        <w:spacing w:before="200" w:lineRule="auto"/>
        <w:ind w:firstLine="540"/>
        <w:jc w:val="both"/>
      </w:pPr>
      <w:r>
        <w:rPr>
          <w:sz w:val="20"/>
        </w:rPr>
        <w:t xml:space="preserve">Вместе с отчетом о достижении результата получатель субсидии представляет в уполномоченный орган пояснительную записку и документы, содержащие и подтверждающие сведения о достижении значения результата предоставления субсидии и характеристик результата, предусмотренных Соглашением, включая фотоматериалы, информационные справки, скриншоты информации о проводимых мероприятиях, размещенных в сети "Интернет", копии публикаций о проводимых мероприятиях в средствах массовой информации, списки (реестры) участников мероприятий, содержащие сведения, подтверждающие их отношение к старшему поколению.</w:t>
      </w:r>
    </w:p>
    <w:bookmarkStart w:id="194" w:name="P194"/>
    <w:bookmarkEnd w:id="194"/>
    <w:p>
      <w:pPr>
        <w:pStyle w:val="0"/>
        <w:spacing w:before="200" w:lineRule="auto"/>
        <w:ind w:firstLine="540"/>
        <w:jc w:val="both"/>
      </w:pPr>
      <w:r>
        <w:rPr>
          <w:sz w:val="20"/>
        </w:rPr>
        <w:t xml:space="preserve">3.2. Для проведения мониторинга достижения результата предоставления субсидии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ежеквартально (по состоянию на первое число месяца, следующего за отчетным кварталом, начиная с квартала, в котором получена субсидия) в срок не позднее 10-го рабочего дня, следующего за отчетным кварталом, представляет в уполномоченный орган отчет о реализации плана мероприятий по достижению результата предоставления субсидии по форме, установленной Министерством финансов Российской Федерации.</w:t>
      </w:r>
    </w:p>
    <w:p>
      <w:pPr>
        <w:pStyle w:val="0"/>
        <w:spacing w:before="200" w:lineRule="auto"/>
        <w:ind w:firstLine="540"/>
        <w:jc w:val="both"/>
      </w:pPr>
      <w:r>
        <w:rPr>
          <w:sz w:val="20"/>
        </w:rPr>
        <w:t xml:space="preserve">Формирование отчета о реализации плана мероприятий по достижению результата предоставления субсидии осуществляется ежеквартально с ежемесячным отражением информации, установленной Министерством финансов Российской Федерации.</w:t>
      </w:r>
    </w:p>
    <w:p>
      <w:pPr>
        <w:pStyle w:val="0"/>
        <w:spacing w:before="200" w:lineRule="auto"/>
        <w:ind w:firstLine="540"/>
        <w:jc w:val="both"/>
      </w:pPr>
      <w:r>
        <w:rPr>
          <w:sz w:val="20"/>
        </w:rPr>
        <w:t xml:space="preserve">Уполномоченный орган в течение 20 рабочих дней со дня получения отчета о достижении значений результата предоставления субсидии и представленных с ним документов и отчета о реализации плана мероприятий по достижению результата предоставления субсидии по форме, установленной Министерством финансов Российской Федерации, проводит оценку на предмет достижения результата предоставления субсидии и оформляет справку о результатах оценки.</w:t>
      </w:r>
    </w:p>
    <w:bookmarkStart w:id="197" w:name="P197"/>
    <w:bookmarkEnd w:id="197"/>
    <w:p>
      <w:pPr>
        <w:pStyle w:val="0"/>
        <w:spacing w:before="200" w:lineRule="auto"/>
        <w:ind w:firstLine="540"/>
        <w:jc w:val="both"/>
      </w:pPr>
      <w:r>
        <w:rPr>
          <w:sz w:val="20"/>
        </w:rPr>
        <w:t xml:space="preserve">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w:t>
      </w:r>
    </w:p>
    <w:p>
      <w:pPr>
        <w:pStyle w:val="0"/>
        <w:spacing w:before="200" w:lineRule="auto"/>
        <w:ind w:firstLine="540"/>
        <w:jc w:val="both"/>
      </w:pPr>
      <w:r>
        <w:rPr>
          <w:sz w:val="20"/>
        </w:rPr>
        <w:t xml:space="preserve">Отчет о расходах представляется с приложением:</w:t>
      </w:r>
    </w:p>
    <w:p>
      <w:pPr>
        <w:pStyle w:val="0"/>
        <w:spacing w:before="200" w:lineRule="auto"/>
        <w:ind w:firstLine="540"/>
        <w:jc w:val="both"/>
      </w:pPr>
      <w:r>
        <w:rPr>
          <w:sz w:val="20"/>
        </w:rPr>
        <w:t xml:space="preserve">копий договоров (купли-продажи (поставки), аренды и пользования с товарными накладными, услуг по данным договорам, других договоров), выполняемых сторонними организациями, индивидуальными предпринимателями, физическими лицами, связанных с организацией и проведением мероприятий за счет средств субсидии, заверенных получателем субсидии;</w:t>
      </w:r>
    </w:p>
    <w:p>
      <w:pPr>
        <w:pStyle w:val="0"/>
        <w:spacing w:before="200" w:lineRule="auto"/>
        <w:ind w:firstLine="540"/>
        <w:jc w:val="both"/>
      </w:pPr>
      <w:r>
        <w:rPr>
          <w:sz w:val="20"/>
        </w:rPr>
        <w:t xml:space="preserve">копий документов, подтверждающих фактически произведенные получателем субсидии расходы (получение приобретенных товаров, приемку выполненных работ, оказанных услуг, а также оплату приобретенных товаров, выполненных работ, оказанных услуг, в том числе путем расчетов наличными денежными средствами), заверенных получателем субсидии.</w:t>
      </w:r>
    </w:p>
    <w:p>
      <w:pPr>
        <w:pStyle w:val="0"/>
        <w:spacing w:before="200" w:lineRule="auto"/>
        <w:ind w:firstLine="540"/>
        <w:jc w:val="both"/>
      </w:pPr>
      <w:r>
        <w:rPr>
          <w:sz w:val="20"/>
        </w:rPr>
        <w:t xml:space="preserve">На основании отчета о расходах уполномоченный орган в течение 20 рабочих дней со дня их получения осуществляет анализ содержания представленных документов на предмет соблюдения требований, предусмотренных настоящим Порядком, включая соблюдение запрета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3.4. В случае непредставления получателем субсидии отчетов (информации) и (или) документов, указанных в </w:t>
      </w:r>
      <w:hyperlink w:history="0" w:anchor="P192" w:tooltip="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
        <w:r>
          <w:rPr>
            <w:sz w:val="20"/>
            <w:color w:val="0000ff"/>
          </w:rPr>
          <w:t xml:space="preserve">пунктах 3.1</w:t>
        </w:r>
      </w:hyperlink>
      <w:r>
        <w:rPr>
          <w:sz w:val="20"/>
        </w:rPr>
        <w:t xml:space="preserve"> - </w:t>
      </w:r>
      <w:hyperlink w:history="0" w:anchor="P197" w:tooltip="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
        <w:r>
          <w:rPr>
            <w:sz w:val="20"/>
            <w:color w:val="0000ff"/>
          </w:rPr>
          <w:t xml:space="preserve">3.3</w:t>
        </w:r>
      </w:hyperlink>
      <w:r>
        <w:rPr>
          <w:sz w:val="20"/>
        </w:rPr>
        <w:t xml:space="preserve"> настоящего Порядка, уполномоченный орган в течение 15 рабочих дней с даты окончания срока представления отчетов (информации) запрашивает их у получателя субсидии, устанавливая срок представления отчетов (информации) 10 рабочих дней со дня получения запроса.</w:t>
      </w:r>
    </w:p>
    <w:p>
      <w:pPr>
        <w:pStyle w:val="0"/>
        <w:spacing w:before="200" w:lineRule="auto"/>
        <w:ind w:firstLine="540"/>
        <w:jc w:val="both"/>
      </w:pPr>
      <w:r>
        <w:rPr>
          <w:sz w:val="20"/>
        </w:rPr>
        <w:t xml:space="preserve">3.5. Уполномоченный орган в случае представления неполных сведений, наличия противоречий в представленных документах запрашивает дополнительные сведения, связанные с соблюдением условий и порядка предоставления субсидии, у получателя субсидии для проверки сведений, содержащихся в отчетах (информации), указанных в </w:t>
      </w:r>
      <w:hyperlink w:history="0" w:anchor="P192" w:tooltip="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
        <w:r>
          <w:rPr>
            <w:sz w:val="20"/>
            <w:color w:val="0000ff"/>
          </w:rPr>
          <w:t xml:space="preserve">пунктах 3.1</w:t>
        </w:r>
      </w:hyperlink>
      <w:r>
        <w:rPr>
          <w:sz w:val="20"/>
        </w:rPr>
        <w:t xml:space="preserve"> - </w:t>
      </w:r>
      <w:hyperlink w:history="0" w:anchor="P197" w:tooltip="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
        <w:r>
          <w:rPr>
            <w:sz w:val="20"/>
            <w:color w:val="0000ff"/>
          </w:rPr>
          <w:t xml:space="preserve">3.3</w:t>
        </w:r>
      </w:hyperlink>
      <w:r>
        <w:rPr>
          <w:sz w:val="20"/>
        </w:rPr>
        <w:t xml:space="preserve"> настоящего Порядка.</w:t>
      </w:r>
    </w:p>
    <w:p>
      <w:pPr>
        <w:pStyle w:val="0"/>
        <w:spacing w:before="200" w:lineRule="auto"/>
        <w:ind w:firstLine="540"/>
        <w:jc w:val="both"/>
      </w:pPr>
      <w:r>
        <w:rPr>
          <w:sz w:val="20"/>
        </w:rPr>
        <w:t xml:space="preserve">3.6. Отчеты, указанные в </w:t>
      </w:r>
      <w:hyperlink w:history="0" w:anchor="P192" w:tooltip="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
        <w:r>
          <w:rPr>
            <w:sz w:val="20"/>
            <w:color w:val="0000ff"/>
          </w:rPr>
          <w:t xml:space="preserve">пунктах 3.1</w:t>
        </w:r>
      </w:hyperlink>
      <w:r>
        <w:rPr>
          <w:sz w:val="20"/>
        </w:rPr>
        <w:t xml:space="preserve"> - </w:t>
      </w:r>
      <w:hyperlink w:history="0" w:anchor="P197" w:tooltip="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
        <w:r>
          <w:rPr>
            <w:sz w:val="20"/>
            <w:color w:val="0000ff"/>
          </w:rPr>
          <w:t xml:space="preserve">3.3</w:t>
        </w:r>
      </w:hyperlink>
      <w:r>
        <w:rPr>
          <w:sz w:val="20"/>
        </w:rPr>
        <w:t xml:space="preserve"> настоящего Порядка представляются получателем в системе "Электронный бюджет", а документы к указанным отчетам представляются на бумажном носителе одновременно с отчетами посредством личного обращения, услуг почтовой связи или курьерской доставки, или по электронной почте (с последующим досылом на бумажном носителе в срок не более 5 рабочих дней с даты отправки указанных документов по электронной почте).</w:t>
      </w:r>
    </w:p>
    <w:p>
      <w:pPr>
        <w:pStyle w:val="0"/>
        <w:jc w:val="both"/>
      </w:pPr>
      <w:r>
        <w:rPr>
          <w:sz w:val="20"/>
        </w:rPr>
      </w:r>
    </w:p>
    <w:bookmarkStart w:id="206" w:name="P206"/>
    <w:bookmarkEnd w:id="206"/>
    <w:p>
      <w:pPr>
        <w:pStyle w:val="2"/>
        <w:outlineLvl w:val="1"/>
        <w:jc w:val="center"/>
      </w:pPr>
      <w:r>
        <w:rPr>
          <w:sz w:val="20"/>
        </w:rPr>
        <w:t xml:space="preserve">IV.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субсидии и ответственность за их нарушение</w:t>
      </w:r>
    </w:p>
    <w:p>
      <w:pPr>
        <w:pStyle w:val="0"/>
        <w:jc w:val="both"/>
      </w:pPr>
      <w:r>
        <w:rPr>
          <w:sz w:val="20"/>
        </w:rPr>
      </w:r>
    </w:p>
    <w:p>
      <w:pPr>
        <w:pStyle w:val="0"/>
        <w:ind w:firstLine="540"/>
        <w:jc w:val="both"/>
      </w:pPr>
      <w:r>
        <w:rPr>
          <w:sz w:val="20"/>
        </w:rPr>
        <w:t xml:space="preserve">4.1. Уполномоченный орган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w:t>
      </w:r>
    </w:p>
    <w:p>
      <w:pPr>
        <w:pStyle w:val="0"/>
        <w:spacing w:before="200" w:lineRule="auto"/>
        <w:ind w:firstLine="540"/>
        <w:jc w:val="both"/>
      </w:pPr>
      <w:r>
        <w:rPr>
          <w:sz w:val="20"/>
        </w:rPr>
        <w:t xml:space="preserve">по месту нахождения уполномоченного органа - на основании документов, указанных в </w:t>
      </w:r>
      <w:hyperlink w:history="0" w:anchor="P190" w:tooltip="III. Требования к отчетности">
        <w:r>
          <w:rPr>
            <w:sz w:val="20"/>
            <w:color w:val="0000ff"/>
          </w:rPr>
          <w:t xml:space="preserve">разделе 3</w:t>
        </w:r>
      </w:hyperlink>
      <w:r>
        <w:rPr>
          <w:sz w:val="20"/>
        </w:rPr>
        <w:t xml:space="preserve"> настоящего Порядка (за исключением ежеквартальной информации, предусмотренной </w:t>
      </w:r>
      <w:hyperlink w:history="0" w:anchor="P194" w:tooltip="3.2. Для проведения мониторинга достижения результата предоставления субсидии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ежеквартально (по состоянию на первое число месяца, следующего за отчетным кварталом, начиная с квартала, в котором получена субсидия) в срок не позднее 10-го рабочего дня, следующего за отчетным кварталом, представляет в уполномоченный орган отчет о реализации плана ме...">
        <w:r>
          <w:rPr>
            <w:sz w:val="20"/>
            <w:color w:val="0000ff"/>
          </w:rPr>
          <w:t xml:space="preserve">пунктом 3.2</w:t>
        </w:r>
      </w:hyperlink>
      <w:r>
        <w:rPr>
          <w:sz w:val="20"/>
        </w:rPr>
        <w:t xml:space="preserve"> настоящего Порядка), а также документов, представленных получателем субсидии по запросам уполномоченного органа;</w:t>
      </w:r>
    </w:p>
    <w:p>
      <w:pPr>
        <w:pStyle w:val="0"/>
        <w:spacing w:before="200" w:lineRule="auto"/>
        <w:ind w:firstLine="540"/>
        <w:jc w:val="both"/>
      </w:pPr>
      <w:r>
        <w:rPr>
          <w:sz w:val="20"/>
        </w:rPr>
        <w:t xml:space="preserve">по месту нахождения получателя субсидии - путем документального и фактического анализа операций, связанных с использованием средств субсидии, произведенных получателем субсидии;</w:t>
      </w:r>
    </w:p>
    <w:p>
      <w:pPr>
        <w:pStyle w:val="0"/>
        <w:spacing w:before="200" w:lineRule="auto"/>
        <w:ind w:firstLine="540"/>
        <w:jc w:val="both"/>
      </w:pPr>
      <w:r>
        <w:rPr>
          <w:sz w:val="20"/>
        </w:rPr>
        <w:t xml:space="preserve">на основании документов, поступивших в уполномоченный орган от правоохранительных органов, органов, уполномоченных на осуществление государственного контроля (надзора), муниципального контроля, информации о выявленных фактах несоблюдения условий, целей и порядка предоставления субсидии, получателем субсидии;</w:t>
      </w:r>
    </w:p>
    <w:p>
      <w:pPr>
        <w:pStyle w:val="0"/>
        <w:spacing w:before="200" w:lineRule="auto"/>
        <w:ind w:firstLine="540"/>
        <w:jc w:val="both"/>
      </w:pPr>
      <w:r>
        <w:rPr>
          <w:sz w:val="20"/>
        </w:rPr>
        <w:t xml:space="preserve">на основании выявленных уполномоченным органом фактов несоблюдения получателем субсидий условий, порядка предоставления субсидии, в том числе в части достижения результата предоставления субсидии.</w:t>
      </w:r>
    </w:p>
    <w:p>
      <w:pPr>
        <w:pStyle w:val="0"/>
        <w:spacing w:before="200" w:lineRule="auto"/>
        <w:ind w:firstLine="540"/>
        <w:jc w:val="both"/>
      </w:pPr>
      <w:r>
        <w:rPr>
          <w:sz w:val="20"/>
        </w:rPr>
        <w:t xml:space="preserve">4.2. Министерство финансов области как орган государственного финансового контроля осуществляет проверки в соответствии со </w:t>
      </w:r>
      <w:hyperlink w:history="0" r:id="rId2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4.3. Обязательными условиями, включаемыми в Соглашение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субсидии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субсидии, на осуществление главным распорядителем как получателем бюджетных средств, и органами государственного финансового контроля проверок.</w:t>
      </w:r>
    </w:p>
    <w:p>
      <w:pPr>
        <w:pStyle w:val="0"/>
        <w:spacing w:before="200" w:lineRule="auto"/>
        <w:ind w:firstLine="540"/>
        <w:jc w:val="both"/>
      </w:pPr>
      <w:r>
        <w:rPr>
          <w:sz w:val="20"/>
        </w:rPr>
        <w:t xml:space="preserve">4.4. Получатель субсидии несет ответственность за соблюдение условий, целей и порядка предоставления субсидии в соответствии с действующим законодательством и заключенным Соглашением.</w:t>
      </w:r>
    </w:p>
    <w:bookmarkStart w:id="218" w:name="P218"/>
    <w:bookmarkEnd w:id="218"/>
    <w:p>
      <w:pPr>
        <w:pStyle w:val="0"/>
        <w:spacing w:before="200" w:lineRule="auto"/>
        <w:ind w:firstLine="540"/>
        <w:jc w:val="both"/>
      </w:pPr>
      <w:r>
        <w:rPr>
          <w:sz w:val="20"/>
        </w:rPr>
        <w:t xml:space="preserve">4.5. Уполномоченный орган на основе представленных получателем субсидии отчетов, указанных в </w:t>
      </w:r>
      <w:hyperlink w:history="0" w:anchor="P192" w:tooltip="3.1. Получатель субсидии для подтверждения результата предоставления Субсидии в течение периода расходования субсидии до окончания проведения запланированных мероприятий ежеквартально в течение 10 рабочих дней после окончания отчетного периода (по состоянию на первое число месяца, следующего за отчетным кварталом) начиная с квартала, в котором получена субсидия, представляет отчет о достижении значений результата предоставления субсидии (далее - отчет о достижении результата) по форме, установленной Согл...">
        <w:r>
          <w:rPr>
            <w:sz w:val="20"/>
            <w:color w:val="0000ff"/>
          </w:rPr>
          <w:t xml:space="preserve">пунктах 3.1</w:t>
        </w:r>
      </w:hyperlink>
      <w:r>
        <w:rPr>
          <w:sz w:val="20"/>
        </w:rPr>
        <w:t xml:space="preserve"> - </w:t>
      </w:r>
      <w:hyperlink w:history="0" w:anchor="P197" w:tooltip="3.3. Получатель субсидии в течение периода расходования субсидии до окончания проведения запланированных мероприятий начиная с квартала, в котором получена субсидия, представляет в уполномоченный орган отчет о расходах, источником финансового обеспечения которых является субсидия (далее - отчет о расходах), по форме, установленной Соглашением, - ежеквартально в течение 10 рабочих дней после окончания отчетного периода.">
        <w:r>
          <w:rPr>
            <w:sz w:val="20"/>
            <w:color w:val="0000ff"/>
          </w:rPr>
          <w:t xml:space="preserve">3.3</w:t>
        </w:r>
      </w:hyperlink>
      <w:r>
        <w:rPr>
          <w:sz w:val="20"/>
        </w:rPr>
        <w:t xml:space="preserve"> настоящего Порядка, и документов к ним в течение 20 рабочих дней со дня их получения в полном объеме в системе "Электронный бюджет" проводит оценку эффективности использования средств субсидии на предмет соответствия целям, достижения результата предоставления субсидии и характеристик результата, предусмотренных в Соглашении.</w:t>
      </w:r>
    </w:p>
    <w:p>
      <w:pPr>
        <w:pStyle w:val="0"/>
        <w:spacing w:before="200" w:lineRule="auto"/>
        <w:ind w:firstLine="540"/>
        <w:jc w:val="both"/>
      </w:pPr>
      <w:r>
        <w:rPr>
          <w:sz w:val="20"/>
        </w:rPr>
        <w:t xml:space="preserve">Также уполномоченный орган осуществляет проверку соответствия Перечню затрат фактически понесенных расходов за счет средств субсидии, в том числе проверяет наличие документов, подтверждающих расходование областных средств по мероприятиям, указанным в Плане мероприятий по достижению результата предоставления субсидий, проверяет на предмет наличия арифметических ошибок на основании представленных отчетов.</w:t>
      </w:r>
    </w:p>
    <w:p>
      <w:pPr>
        <w:pStyle w:val="0"/>
        <w:spacing w:before="200" w:lineRule="auto"/>
        <w:ind w:firstLine="540"/>
        <w:jc w:val="both"/>
      </w:pPr>
      <w:r>
        <w:rPr>
          <w:sz w:val="20"/>
        </w:rPr>
        <w:t xml:space="preserve">4.6. В течение 5 календарных дней со дня завершения проверки, указанной в </w:t>
      </w:r>
      <w:hyperlink w:history="0" w:anchor="P218" w:tooltip="4.5. Уполномоченный орган на основе представленных получателем субсидии отчетов, указанных в пунктах 3.1 - 3.3 настоящего Порядка, и документов к ним в течение 20 рабочих дней со дня их получения в полном объеме в системе &quot;Электронный бюджет&quot; проводит оценку эффективности использования средств субсидии на предмет соответствия целям, достижения результата предоставления субсидии и характеристик результата, предусмотренных в Соглашении.">
        <w:r>
          <w:rPr>
            <w:sz w:val="20"/>
            <w:color w:val="0000ff"/>
          </w:rPr>
          <w:t xml:space="preserve">пункте 4.5</w:t>
        </w:r>
      </w:hyperlink>
      <w:r>
        <w:rPr>
          <w:sz w:val="20"/>
        </w:rPr>
        <w:t xml:space="preserve"> настоящего Порядка, уполномоченным органом готовится справка об итогах контроля соблюдения получателями субсидии условий и порядка, установленных настоящим Порядком.</w:t>
      </w:r>
    </w:p>
    <w:p>
      <w:pPr>
        <w:pStyle w:val="0"/>
        <w:jc w:val="both"/>
      </w:pPr>
      <w:r>
        <w:rPr>
          <w:sz w:val="20"/>
        </w:rPr>
        <w:t xml:space="preserve">(в ред. </w:t>
      </w:r>
      <w:hyperlink w:history="0" r:id="rId30" w:tooltip="Постановление Правительства Вологодской области от 01.08.2025 N 1099 &quot;О внесении изменений в постановление Правительства области от 2 июня 2025 года N 840&quot; {КонсультантПлюс}">
        <w:r>
          <w:rPr>
            <w:sz w:val="20"/>
            <w:color w:val="0000ff"/>
          </w:rPr>
          <w:t xml:space="preserve">постановления</w:t>
        </w:r>
      </w:hyperlink>
      <w:r>
        <w:rPr>
          <w:sz w:val="20"/>
        </w:rPr>
        <w:t xml:space="preserve"> Правительства Вологодской области от 01.08.2025 N 1099)</w:t>
      </w:r>
    </w:p>
    <w:bookmarkStart w:id="222" w:name="P222"/>
    <w:bookmarkEnd w:id="222"/>
    <w:p>
      <w:pPr>
        <w:pStyle w:val="0"/>
        <w:spacing w:before="200" w:lineRule="auto"/>
        <w:ind w:firstLine="540"/>
        <w:jc w:val="both"/>
      </w:pPr>
      <w:r>
        <w:rPr>
          <w:sz w:val="20"/>
        </w:rPr>
        <w:t xml:space="preserve">4.7. В случае выявления в ходе проверок в представленных получателем субсидии отчетах и документах к ним сведений, не соответствующих действительности, нарушения условий и порядка предоставления субсидии, в случае если указанные недостоверность сведений и нарушения являются устранимыми, уполномоченный орган в срок 10 рабочих дней со дня обнаружения указанных недостоверности сведений и нарушений направляет получателю субсидии посредством услуг почтовой связи и по электронной почте на адрес, указанный в заявке на участие в конкурсе, уведомление с требованием об устранении недостоверности сведений и нарушений порядка и условий предоставления субсидии в течение 15 календарных дней со дня направления уведомления.</w:t>
      </w:r>
    </w:p>
    <w:p>
      <w:pPr>
        <w:pStyle w:val="0"/>
        <w:spacing w:before="200" w:lineRule="auto"/>
        <w:ind w:firstLine="540"/>
        <w:jc w:val="both"/>
      </w:pPr>
      <w:r>
        <w:rPr>
          <w:sz w:val="20"/>
        </w:rPr>
        <w:t xml:space="preserve">В случае неустранения недостоверности сведений и нарушений порядка и условий предоставления субсидии получателем субсидии уполномоченный орган в течение 10 рабочих дней со дня истечения срока, указанного в </w:t>
      </w:r>
      <w:hyperlink w:history="0" w:anchor="P222" w:tooltip="4.7. В случае выявления в ходе проверок в представленных получателем субсидии отчетах и документах к ним сведений, не соответствующих действительности, нарушения условий и порядка предоставления субсидии, в случае если указанные недостоверность сведений и нарушения являются устранимыми, уполномоченный орган в срок 10 рабочих дней со дня обнаружения указанных недостоверности сведений и нарушений направляет получателю субсидии посредством услуг почтовой связи и по электронной почте на адрес, указанный в за...">
        <w:r>
          <w:rPr>
            <w:sz w:val="20"/>
            <w:color w:val="0000ff"/>
          </w:rPr>
          <w:t xml:space="preserve">абзаце первом</w:t>
        </w:r>
      </w:hyperlink>
      <w:r>
        <w:rPr>
          <w:sz w:val="20"/>
        </w:rPr>
        <w:t xml:space="preserve"> настоящего пункта, направляет получателю субсидии уведомление с требованием о возврате субсидии в полном объеме в областной бюджет в течение 30 календарных дней со дня направления уведомления.</w:t>
      </w:r>
    </w:p>
    <w:p>
      <w:pPr>
        <w:pStyle w:val="0"/>
        <w:spacing w:before="200" w:lineRule="auto"/>
        <w:ind w:firstLine="540"/>
        <w:jc w:val="both"/>
      </w:pPr>
      <w:r>
        <w:rPr>
          <w:sz w:val="20"/>
        </w:rPr>
        <w:t xml:space="preserve">В случае представления в уполномоченный орган документов, подтверждающих сумму расходов, указанную в отчете о расходах, не в полном объеме, уполномоченный орган в течение 5 рабочих дней со дня истечения срока, установленного в </w:t>
      </w:r>
      <w:hyperlink w:history="0" w:anchor="P222" w:tooltip="4.7. В случае выявления в ходе проверок в представленных получателем субсидии отчетах и документах к ним сведений, не соответствующих действительности, нарушения условий и порядка предоставления субсидии, в случае если указанные недостоверность сведений и нарушения являются устранимыми, уполномоченный орган в срок 10 рабочих дней со дня обнаружения указанных недостоверности сведений и нарушений направляет получателю субсидии посредством услуг почтовой связи и по электронной почте на адрес, указанный в за...">
        <w:r>
          <w:rPr>
            <w:sz w:val="20"/>
            <w:color w:val="0000ff"/>
          </w:rPr>
          <w:t xml:space="preserve">абзаце первом</w:t>
        </w:r>
      </w:hyperlink>
      <w:r>
        <w:rPr>
          <w:sz w:val="20"/>
        </w:rPr>
        <w:t xml:space="preserve"> настоящего пункта, направляет получателю субсидии посредством услуг почтовой связи и по электронной почте на адрес, указанный в заявке, уведомление с требованием о возврате средств субсидии, расходование которых не подтверждено документами, в течение 30 календарных дней со дня направления уведомления.</w:t>
      </w:r>
    </w:p>
    <w:p>
      <w:pPr>
        <w:pStyle w:val="0"/>
        <w:spacing w:before="200" w:lineRule="auto"/>
        <w:ind w:firstLine="540"/>
        <w:jc w:val="both"/>
      </w:pPr>
      <w:r>
        <w:rPr>
          <w:sz w:val="20"/>
        </w:rPr>
        <w:t xml:space="preserve">В случае выявления в ходе проверок, в представленных получателем субсидии отчетах и документах к ним сведений, не соответствующих действительности, нарушения порядка и условий предоставления субсидии, в том числе в части достижения результата предоставления субсидий, которые являются неустранимыми, а также в случае нецелевого использования субсидии уполномоченный орган не позднее 3 календарных дней со дня обнаружения указанных недостоверности сведений, нарушений, нецелевого использования средств субсидии направляет получателю субсидии уведомление с требованием о возврате субсидии в полном объеме (при нецелевом использовании средств субсидии - в объеме нецелевого использования) в областной бюджет в течение 30 календарных дней со дня направления уведомления.</w:t>
      </w:r>
    </w:p>
    <w:p>
      <w:pPr>
        <w:pStyle w:val="0"/>
        <w:spacing w:before="200" w:lineRule="auto"/>
        <w:ind w:firstLine="540"/>
        <w:jc w:val="both"/>
      </w:pPr>
      <w:r>
        <w:rPr>
          <w:sz w:val="20"/>
        </w:rPr>
        <w:t xml:space="preserve">В случае наличия по завершении реализации мероприятий неиспользованных средств субсидий получатель субсидии возвращает указанные средства в областной бюджет в течение 30 календарных дней со дня представления в уполномоченный орган отчетов и документов к ним.</w:t>
      </w:r>
    </w:p>
    <w:p>
      <w:pPr>
        <w:pStyle w:val="0"/>
        <w:spacing w:before="200" w:lineRule="auto"/>
        <w:ind w:firstLine="540"/>
        <w:jc w:val="both"/>
      </w:pPr>
      <w:r>
        <w:rPr>
          <w:sz w:val="20"/>
        </w:rPr>
        <w:t xml:space="preserve">4.8. В случае непоступления средств в областной бюджет в сроки, указанные в </w:t>
      </w:r>
      <w:hyperlink w:history="0" w:anchor="P222" w:tooltip="4.7. В случае выявления в ходе проверок в представленных получателем субсидии отчетах и документах к ним сведений, не соответствующих действительности, нарушения условий и порядка предоставления субсидии, в случае если указанные недостоверность сведений и нарушения являются устранимыми, уполномоченный орган в срок 10 рабочих дней со дня обнаружения указанных недостоверности сведений и нарушений направляет получателю субсидии посредством услуг почтовой связи и по электронной почте на адрес, указанный в за...">
        <w:r>
          <w:rPr>
            <w:sz w:val="20"/>
            <w:color w:val="0000ff"/>
          </w:rPr>
          <w:t xml:space="preserve">пункте 4.7</w:t>
        </w:r>
      </w:hyperlink>
      <w:r>
        <w:rPr>
          <w:sz w:val="20"/>
        </w:rPr>
        <w:t xml:space="preserve"> настоящего Порядка, уполномоченный орган принимает меры к их взысканию в судебном порядке в течение 60 календарных дней со дня истечения срока, установленного для возврата субсидии.</w:t>
      </w:r>
    </w:p>
    <w:p>
      <w:pPr>
        <w:pStyle w:val="0"/>
        <w:spacing w:before="200" w:lineRule="auto"/>
        <w:ind w:firstLine="540"/>
        <w:jc w:val="both"/>
      </w:pPr>
      <w:r>
        <w:rPr>
          <w:sz w:val="20"/>
        </w:rPr>
        <w:t xml:space="preserve">4.9. Мониторинг достижения результата предоставления субсидии осуществляется уполномоченным органом исходя из достижения результата предоставления субсидии, определенного договором,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w:t>
      </w:r>
    </w:p>
    <w:p>
      <w:pPr>
        <w:pStyle w:val="0"/>
        <w:jc w:val="both"/>
      </w:pPr>
      <w:r>
        <w:rPr>
          <w:sz w:val="20"/>
        </w:rPr>
      </w:r>
    </w:p>
    <w:p>
      <w:pPr>
        <w:pStyle w:val="0"/>
        <w:jc w:val="right"/>
      </w:pPr>
      <w:r>
        <w:rPr>
          <w:sz w:val="20"/>
        </w:rPr>
        <w:t xml:space="preserve">Форма</w:t>
      </w:r>
    </w:p>
    <w:p>
      <w:pPr>
        <w:pStyle w:val="0"/>
        <w:jc w:val="both"/>
      </w:pPr>
      <w:r>
        <w:rPr>
          <w:sz w:val="20"/>
        </w:rPr>
      </w:r>
    </w:p>
    <w:bookmarkStart w:id="239" w:name="P239"/>
    <w:bookmarkEnd w:id="239"/>
    <w:p>
      <w:pPr>
        <w:pStyle w:val="0"/>
        <w:jc w:val="center"/>
      </w:pPr>
      <w:r>
        <w:rPr>
          <w:sz w:val="20"/>
        </w:rPr>
        <w:t xml:space="preserve">ИНФОРМАЦИЯ</w:t>
      </w:r>
    </w:p>
    <w:p>
      <w:pPr>
        <w:pStyle w:val="0"/>
        <w:jc w:val="center"/>
      </w:pPr>
      <w:r>
        <w:rPr>
          <w:sz w:val="20"/>
        </w:rPr>
        <w:t xml:space="preserve">для участия в отборе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72"/>
        <w:gridCol w:w="3798"/>
      </w:tblGrid>
      <w:tr>
        <w:tc>
          <w:tcPr>
            <w:tcW w:w="5272" w:type="dxa"/>
          </w:tcPr>
          <w:p>
            <w:pPr>
              <w:pStyle w:val="0"/>
            </w:pPr>
            <w:r>
              <w:rPr>
                <w:sz w:val="20"/>
              </w:rPr>
              <w:t xml:space="preserve">Полное и сокращенное (при наличии) наименование организации</w:t>
            </w:r>
          </w:p>
        </w:tc>
        <w:tc>
          <w:tcPr>
            <w:tcW w:w="3798" w:type="dxa"/>
          </w:tcPr>
          <w:p>
            <w:pPr>
              <w:pStyle w:val="0"/>
            </w:pPr>
            <w:r>
              <w:rPr>
                <w:sz w:val="20"/>
              </w:rPr>
            </w:r>
          </w:p>
        </w:tc>
      </w:tr>
      <w:tr>
        <w:tc>
          <w:tcPr>
            <w:tcW w:w="5272" w:type="dxa"/>
          </w:tcPr>
          <w:p>
            <w:pPr>
              <w:pStyle w:val="0"/>
            </w:pPr>
            <w:r>
              <w:rPr>
                <w:sz w:val="20"/>
              </w:rPr>
              <w:t xml:space="preserve">Основной государственный регистрационный номер (ОГРН)</w:t>
            </w:r>
          </w:p>
        </w:tc>
        <w:tc>
          <w:tcPr>
            <w:tcW w:w="3798" w:type="dxa"/>
          </w:tcPr>
          <w:p>
            <w:pPr>
              <w:pStyle w:val="0"/>
            </w:pPr>
            <w:r>
              <w:rPr>
                <w:sz w:val="20"/>
              </w:rPr>
            </w:r>
          </w:p>
        </w:tc>
      </w:tr>
      <w:tr>
        <w:tc>
          <w:tcPr>
            <w:tcW w:w="5272" w:type="dxa"/>
          </w:tcPr>
          <w:p>
            <w:pPr>
              <w:pStyle w:val="0"/>
            </w:pPr>
            <w:r>
              <w:rPr>
                <w:sz w:val="20"/>
              </w:rPr>
              <w:t xml:space="preserve">ИНН</w:t>
            </w:r>
          </w:p>
        </w:tc>
        <w:tc>
          <w:tcPr>
            <w:tcW w:w="3798" w:type="dxa"/>
          </w:tcPr>
          <w:p>
            <w:pPr>
              <w:pStyle w:val="0"/>
            </w:pPr>
            <w:r>
              <w:rPr>
                <w:sz w:val="20"/>
              </w:rPr>
            </w:r>
          </w:p>
        </w:tc>
      </w:tr>
      <w:tr>
        <w:tc>
          <w:tcPr>
            <w:tcW w:w="5272" w:type="dxa"/>
          </w:tcPr>
          <w:p>
            <w:pPr>
              <w:pStyle w:val="0"/>
            </w:pPr>
            <w:r>
              <w:rPr>
                <w:sz w:val="20"/>
              </w:rPr>
              <w:t xml:space="preserve">Юридический адрес (адрес, указанный в ЕГРЮЛ)</w:t>
            </w:r>
          </w:p>
        </w:tc>
        <w:tc>
          <w:tcPr>
            <w:tcW w:w="3798" w:type="dxa"/>
          </w:tcPr>
          <w:p>
            <w:pPr>
              <w:pStyle w:val="0"/>
            </w:pPr>
            <w:r>
              <w:rPr>
                <w:sz w:val="20"/>
              </w:rPr>
            </w:r>
          </w:p>
        </w:tc>
      </w:tr>
      <w:tr>
        <w:tc>
          <w:tcPr>
            <w:tcW w:w="5272" w:type="dxa"/>
          </w:tcPr>
          <w:p>
            <w:pPr>
              <w:pStyle w:val="0"/>
            </w:pPr>
            <w:r>
              <w:rPr>
                <w:sz w:val="20"/>
              </w:rPr>
              <w:t xml:space="preserve">Почтовый адрес</w:t>
            </w:r>
          </w:p>
          <w:p>
            <w:pPr>
              <w:pStyle w:val="0"/>
            </w:pPr>
            <w:r>
              <w:rPr>
                <w:sz w:val="20"/>
              </w:rPr>
              <w:t xml:space="preserve">(фактический адрес организации, включая почтовый индекс)</w:t>
            </w:r>
          </w:p>
        </w:tc>
        <w:tc>
          <w:tcPr>
            <w:tcW w:w="3798" w:type="dxa"/>
          </w:tcPr>
          <w:p>
            <w:pPr>
              <w:pStyle w:val="0"/>
            </w:pPr>
            <w:r>
              <w:rPr>
                <w:sz w:val="20"/>
              </w:rPr>
            </w:r>
          </w:p>
        </w:tc>
      </w:tr>
      <w:tr>
        <w:tc>
          <w:tcPr>
            <w:tcW w:w="5272" w:type="dxa"/>
          </w:tcPr>
          <w:p>
            <w:pPr>
              <w:pStyle w:val="0"/>
            </w:pPr>
            <w:r>
              <w:rPr>
                <w:sz w:val="20"/>
              </w:rPr>
              <w:t xml:space="preserve">Адрес электронной почты</w:t>
            </w:r>
          </w:p>
        </w:tc>
        <w:tc>
          <w:tcPr>
            <w:tcW w:w="3798" w:type="dxa"/>
          </w:tcPr>
          <w:p>
            <w:pPr>
              <w:pStyle w:val="0"/>
            </w:pPr>
            <w:r>
              <w:rPr>
                <w:sz w:val="20"/>
              </w:rPr>
            </w:r>
          </w:p>
        </w:tc>
      </w:tr>
      <w:tr>
        <w:tc>
          <w:tcPr>
            <w:tcW w:w="5272" w:type="dxa"/>
          </w:tcPr>
          <w:p>
            <w:pPr>
              <w:pStyle w:val="0"/>
            </w:pPr>
            <w:r>
              <w:rPr>
                <w:sz w:val="20"/>
              </w:rPr>
              <w:t xml:space="preserve">Должность руководителя</w:t>
            </w:r>
          </w:p>
        </w:tc>
        <w:tc>
          <w:tcPr>
            <w:tcW w:w="3798" w:type="dxa"/>
          </w:tcPr>
          <w:p>
            <w:pPr>
              <w:pStyle w:val="0"/>
            </w:pPr>
            <w:r>
              <w:rPr>
                <w:sz w:val="20"/>
              </w:rPr>
            </w:r>
          </w:p>
        </w:tc>
      </w:tr>
      <w:tr>
        <w:tc>
          <w:tcPr>
            <w:tcW w:w="5272" w:type="dxa"/>
          </w:tcPr>
          <w:p>
            <w:pPr>
              <w:pStyle w:val="0"/>
            </w:pPr>
            <w:r>
              <w:rPr>
                <w:sz w:val="20"/>
              </w:rPr>
              <w:t xml:space="preserve">Фамилия, имя, отчество (последнее - при наличии) руководителя организации</w:t>
            </w:r>
          </w:p>
        </w:tc>
        <w:tc>
          <w:tcPr>
            <w:tcW w:w="3798" w:type="dxa"/>
          </w:tcPr>
          <w:p>
            <w:pPr>
              <w:pStyle w:val="0"/>
            </w:pPr>
            <w:r>
              <w:rPr>
                <w:sz w:val="20"/>
              </w:rPr>
            </w:r>
          </w:p>
        </w:tc>
      </w:tr>
      <w:tr>
        <w:tc>
          <w:tcPr>
            <w:tcW w:w="5272" w:type="dxa"/>
          </w:tcPr>
          <w:p>
            <w:pPr>
              <w:pStyle w:val="0"/>
            </w:pPr>
            <w:r>
              <w:rPr>
                <w:sz w:val="20"/>
              </w:rPr>
              <w:t xml:space="preserve">Фамилия, имя, отчество, контактный телефон лиц, ответственных за проведение мероприятий, на реализацию которых запрашивается субсидия</w:t>
            </w:r>
          </w:p>
        </w:tc>
        <w:tc>
          <w:tcPr>
            <w:tcW w:w="3798" w:type="dxa"/>
          </w:tcPr>
          <w:p>
            <w:pPr>
              <w:pStyle w:val="0"/>
            </w:pPr>
            <w:r>
              <w:rPr>
                <w:sz w:val="20"/>
              </w:rPr>
            </w:r>
          </w:p>
        </w:tc>
      </w:tr>
      <w:tr>
        <w:tc>
          <w:tcPr>
            <w:tcW w:w="5272" w:type="dxa"/>
          </w:tcPr>
          <w:p>
            <w:pPr>
              <w:pStyle w:val="0"/>
            </w:pPr>
            <w:r>
              <w:rPr>
                <w:sz w:val="20"/>
              </w:rPr>
              <w:t xml:space="preserve">Фамилия, имя, отчество (последнее - при наличии) главного бухгалтера организации (при наличии главного бухгалтера)</w:t>
            </w:r>
          </w:p>
        </w:tc>
        <w:tc>
          <w:tcPr>
            <w:tcW w:w="3798" w:type="dxa"/>
          </w:tcPr>
          <w:p>
            <w:pPr>
              <w:pStyle w:val="0"/>
            </w:pPr>
            <w:r>
              <w:rPr>
                <w:sz w:val="20"/>
              </w:rPr>
            </w:r>
          </w:p>
        </w:tc>
      </w:tr>
      <w:tr>
        <w:tc>
          <w:tcPr>
            <w:tcW w:w="5272" w:type="dxa"/>
          </w:tcPr>
          <w:p>
            <w:pPr>
              <w:pStyle w:val="0"/>
            </w:pPr>
            <w:r>
              <w:rPr>
                <w:sz w:val="20"/>
              </w:rPr>
              <w:t xml:space="preserve">Запрашиваемый размер субсидии</w:t>
            </w:r>
          </w:p>
        </w:tc>
        <w:tc>
          <w:tcPr>
            <w:tcW w:w="3798" w:type="dxa"/>
          </w:tcPr>
          <w:p>
            <w:pPr>
              <w:pStyle w:val="0"/>
            </w:pPr>
            <w:r>
              <w:rPr>
                <w:sz w:val="20"/>
              </w:rPr>
            </w:r>
          </w:p>
        </w:tc>
      </w:tr>
      <w:tr>
        <w:tc>
          <w:tcPr>
            <w:tcW w:w="5272" w:type="dxa"/>
          </w:tcPr>
          <w:p>
            <w:pPr>
              <w:pStyle w:val="0"/>
            </w:pPr>
            <w:r>
              <w:rPr>
                <w:sz w:val="20"/>
              </w:rPr>
              <w:t xml:space="preserve">Дата начала реализации мероприятий</w:t>
            </w:r>
          </w:p>
        </w:tc>
        <w:tc>
          <w:tcPr>
            <w:tcW w:w="3798" w:type="dxa"/>
          </w:tcPr>
          <w:p>
            <w:pPr>
              <w:pStyle w:val="0"/>
            </w:pPr>
            <w:r>
              <w:rPr>
                <w:sz w:val="20"/>
              </w:rPr>
            </w:r>
          </w:p>
        </w:tc>
      </w:tr>
      <w:tr>
        <w:tc>
          <w:tcPr>
            <w:tcW w:w="5272" w:type="dxa"/>
          </w:tcPr>
          <w:p>
            <w:pPr>
              <w:pStyle w:val="0"/>
            </w:pPr>
            <w:r>
              <w:rPr>
                <w:sz w:val="20"/>
              </w:rPr>
              <w:t xml:space="preserve">Дата окончания реализации мероприятий</w:t>
            </w:r>
          </w:p>
        </w:tc>
        <w:tc>
          <w:tcPr>
            <w:tcW w:w="379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335"/>
        <w:gridCol w:w="360"/>
        <w:gridCol w:w="1428"/>
        <w:gridCol w:w="371"/>
        <w:gridCol w:w="3577"/>
      </w:tblGrid>
      <w:tr>
        <w:tc>
          <w:tcPr>
            <w:gridSpan w:val="5"/>
            <w:tcW w:w="9071" w:type="dxa"/>
            <w:tcBorders>
              <w:top w:val="nil"/>
              <w:left w:val="nil"/>
              <w:bottom w:val="nil"/>
              <w:right w:val="nil"/>
            </w:tcBorders>
          </w:tcPr>
          <w:p>
            <w:pPr>
              <w:pStyle w:val="0"/>
              <w:ind w:firstLine="283"/>
              <w:jc w:val="both"/>
            </w:pPr>
            <w:r>
              <w:rPr>
                <w:sz w:val="20"/>
              </w:rPr>
              <w:t xml:space="preserve">Расходование средств субсидии будет осуществляться в соответствии с Перечнем затрат на выполнение мероприятий, на реализацию которых запрашивается субсидия (прилагается) и планом мероприятий, на реализацию которых запрашивается субсидия (прилагается).</w:t>
            </w:r>
          </w:p>
          <w:p>
            <w:pPr>
              <w:pStyle w:val="0"/>
              <w:jc w:val="both"/>
            </w:pPr>
            <w:r>
              <w:rPr>
                <w:sz w:val="20"/>
              </w:rPr>
              <w:t xml:space="preserve">Настоящим подтверждаю достоверность представленных документов и информации.</w:t>
            </w:r>
          </w:p>
        </w:tc>
      </w:tr>
      <w:tr>
        <w:tc>
          <w:tcPr>
            <w:gridSpan w:val="5"/>
            <w:tcW w:w="9071" w:type="dxa"/>
            <w:tcBorders>
              <w:top w:val="nil"/>
              <w:left w:val="nil"/>
              <w:bottom w:val="nil"/>
              <w:right w:val="nil"/>
            </w:tcBorders>
          </w:tcPr>
          <w:p>
            <w:pPr>
              <w:pStyle w:val="0"/>
            </w:pPr>
            <w:r>
              <w:rPr>
                <w:sz w:val="20"/>
              </w:rPr>
            </w:r>
          </w:p>
        </w:tc>
      </w:tr>
      <w:tr>
        <w:tc>
          <w:tcPr>
            <w:tcW w:w="3335" w:type="dxa"/>
            <w:tcBorders>
              <w:top w:val="nil"/>
              <w:left w:val="nil"/>
              <w:bottom w:val="single" w:sz="4"/>
              <w:right w:val="nil"/>
            </w:tcBorders>
          </w:tcPr>
          <w:p>
            <w:pPr>
              <w:pStyle w:val="0"/>
            </w:pPr>
            <w:r>
              <w:rPr>
                <w:sz w:val="20"/>
              </w:rPr>
            </w:r>
          </w:p>
        </w:tc>
        <w:tc>
          <w:tcPr>
            <w:tcW w:w="360" w:type="dxa"/>
            <w:tcBorders>
              <w:top w:val="nil"/>
              <w:left w:val="nil"/>
              <w:bottom w:val="nil"/>
              <w:right w:val="nil"/>
            </w:tcBorders>
          </w:tcPr>
          <w:p>
            <w:pPr>
              <w:pStyle w:val="0"/>
            </w:pPr>
            <w:r>
              <w:rPr>
                <w:sz w:val="20"/>
              </w:rPr>
            </w:r>
          </w:p>
        </w:tc>
        <w:tc>
          <w:tcPr>
            <w:tcW w:w="1428"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pPr>
            <w:r>
              <w:rPr>
                <w:sz w:val="20"/>
              </w:rPr>
            </w:r>
          </w:p>
        </w:tc>
        <w:tc>
          <w:tcPr>
            <w:tcW w:w="3577" w:type="dxa"/>
            <w:tcBorders>
              <w:top w:val="nil"/>
              <w:left w:val="nil"/>
              <w:bottom w:val="single" w:sz="4"/>
              <w:right w:val="nil"/>
            </w:tcBorders>
          </w:tcPr>
          <w:p>
            <w:pPr>
              <w:pStyle w:val="0"/>
            </w:pPr>
            <w:r>
              <w:rPr>
                <w:sz w:val="20"/>
              </w:rPr>
            </w:r>
          </w:p>
        </w:tc>
      </w:tr>
      <w:tr>
        <w:tc>
          <w:tcPr>
            <w:tcW w:w="3335" w:type="dxa"/>
            <w:tcBorders>
              <w:top w:val="single" w:sz="4"/>
              <w:left w:val="nil"/>
              <w:bottom w:val="nil"/>
              <w:right w:val="nil"/>
            </w:tcBorders>
          </w:tcPr>
          <w:p>
            <w:pPr>
              <w:pStyle w:val="0"/>
              <w:jc w:val="center"/>
            </w:pPr>
            <w:r>
              <w:rPr>
                <w:sz w:val="20"/>
              </w:rPr>
              <w:t xml:space="preserve">(руководитель организации)</w:t>
            </w:r>
          </w:p>
        </w:tc>
        <w:tc>
          <w:tcPr>
            <w:tcW w:w="360" w:type="dxa"/>
            <w:tcBorders>
              <w:top w:val="nil"/>
              <w:left w:val="nil"/>
              <w:bottom w:val="nil"/>
              <w:right w:val="nil"/>
            </w:tcBorders>
          </w:tcPr>
          <w:p>
            <w:pPr>
              <w:pStyle w:val="0"/>
            </w:pPr>
            <w:r>
              <w:rPr>
                <w:sz w:val="20"/>
              </w:rPr>
            </w:r>
          </w:p>
        </w:tc>
        <w:tc>
          <w:tcPr>
            <w:tcW w:w="1428"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9071" w:type="dxa"/>
            <w:tcBorders>
              <w:top w:val="nil"/>
              <w:left w:val="nil"/>
              <w:bottom w:val="nil"/>
              <w:right w:val="nil"/>
            </w:tcBorders>
          </w:tcPr>
          <w:p>
            <w:pPr>
              <w:pStyle w:val="0"/>
            </w:pPr>
            <w:r>
              <w:rPr>
                <w:sz w:val="20"/>
              </w:rPr>
            </w:r>
          </w:p>
        </w:tc>
      </w:tr>
      <w:tr>
        <w:tc>
          <w:tcPr>
            <w:tcW w:w="3335" w:type="dxa"/>
            <w:tcBorders>
              <w:top w:val="nil"/>
              <w:left w:val="nil"/>
              <w:bottom w:val="single" w:sz="4"/>
              <w:right w:val="nil"/>
            </w:tcBorders>
          </w:tcPr>
          <w:p>
            <w:pPr>
              <w:pStyle w:val="0"/>
            </w:pPr>
            <w:r>
              <w:rPr>
                <w:sz w:val="20"/>
              </w:rPr>
            </w:r>
          </w:p>
        </w:tc>
        <w:tc>
          <w:tcPr>
            <w:tcW w:w="360" w:type="dxa"/>
            <w:tcBorders>
              <w:top w:val="nil"/>
              <w:left w:val="nil"/>
              <w:bottom w:val="nil"/>
              <w:right w:val="nil"/>
            </w:tcBorders>
          </w:tcPr>
          <w:p>
            <w:pPr>
              <w:pStyle w:val="0"/>
            </w:pPr>
            <w:r>
              <w:rPr>
                <w:sz w:val="20"/>
              </w:rPr>
            </w:r>
          </w:p>
        </w:tc>
        <w:tc>
          <w:tcPr>
            <w:tcW w:w="1428"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pPr>
            <w:r>
              <w:rPr>
                <w:sz w:val="20"/>
              </w:rPr>
            </w:r>
          </w:p>
        </w:tc>
        <w:tc>
          <w:tcPr>
            <w:tcW w:w="3577" w:type="dxa"/>
            <w:tcBorders>
              <w:top w:val="nil"/>
              <w:left w:val="nil"/>
              <w:bottom w:val="single" w:sz="4"/>
              <w:right w:val="nil"/>
            </w:tcBorders>
          </w:tcPr>
          <w:p>
            <w:pPr>
              <w:pStyle w:val="0"/>
            </w:pPr>
            <w:r>
              <w:rPr>
                <w:sz w:val="20"/>
              </w:rPr>
            </w:r>
          </w:p>
        </w:tc>
      </w:tr>
      <w:tr>
        <w:tc>
          <w:tcPr>
            <w:tcW w:w="3335" w:type="dxa"/>
            <w:tcBorders>
              <w:top w:val="single" w:sz="4"/>
              <w:left w:val="nil"/>
              <w:bottom w:val="nil"/>
              <w:right w:val="nil"/>
            </w:tcBorders>
          </w:tcPr>
          <w:p>
            <w:pPr>
              <w:pStyle w:val="0"/>
              <w:jc w:val="center"/>
            </w:pPr>
            <w:r>
              <w:rPr>
                <w:sz w:val="20"/>
              </w:rPr>
              <w:t xml:space="preserve">(главный бухгалтер)</w:t>
            </w:r>
          </w:p>
        </w:tc>
        <w:tc>
          <w:tcPr>
            <w:tcW w:w="360" w:type="dxa"/>
            <w:tcBorders>
              <w:top w:val="nil"/>
              <w:left w:val="nil"/>
              <w:bottom w:val="nil"/>
              <w:right w:val="nil"/>
            </w:tcBorders>
          </w:tcPr>
          <w:p>
            <w:pPr>
              <w:pStyle w:val="0"/>
            </w:pPr>
            <w:r>
              <w:rPr>
                <w:sz w:val="20"/>
              </w:rPr>
            </w:r>
          </w:p>
        </w:tc>
        <w:tc>
          <w:tcPr>
            <w:tcW w:w="1428"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9071" w:type="dxa"/>
            <w:tcBorders>
              <w:top w:val="nil"/>
              <w:left w:val="nil"/>
              <w:bottom w:val="nil"/>
              <w:right w:val="nil"/>
            </w:tcBorders>
          </w:tcPr>
          <w:p>
            <w:pPr>
              <w:pStyle w:val="0"/>
              <w:jc w:val="both"/>
            </w:pPr>
            <w:r>
              <w:rPr>
                <w:sz w:val="20"/>
              </w:rPr>
              <w:t xml:space="preserve">"__"__________ 20__ г.</w:t>
            </w:r>
          </w:p>
          <w:p>
            <w:pPr>
              <w:pStyle w:val="0"/>
              <w:jc w:val="both"/>
            </w:pPr>
            <w:r>
              <w:rPr>
                <w:sz w:val="20"/>
              </w:rPr>
              <w:t xml:space="preserve">М.П. (при наличии)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both"/>
      </w:pPr>
      <w:r>
        <w:rPr>
          <w:sz w:val="20"/>
        </w:rPr>
      </w:r>
    </w:p>
    <w:bookmarkStart w:id="304" w:name="P304"/>
    <w:bookmarkEnd w:id="304"/>
    <w:p>
      <w:pPr>
        <w:pStyle w:val="0"/>
        <w:jc w:val="center"/>
      </w:pPr>
      <w:r>
        <w:rPr>
          <w:sz w:val="20"/>
        </w:rPr>
        <w:t xml:space="preserve">ПЕРЕЧЕНЬ</w:t>
      </w:r>
    </w:p>
    <w:p>
      <w:pPr>
        <w:pStyle w:val="0"/>
        <w:jc w:val="center"/>
      </w:pPr>
      <w:r>
        <w:rPr>
          <w:sz w:val="20"/>
        </w:rPr>
        <w:t xml:space="preserve">затрат на выполнение мероприятий,</w:t>
      </w:r>
    </w:p>
    <w:p>
      <w:pPr>
        <w:pStyle w:val="0"/>
        <w:jc w:val="center"/>
      </w:pPr>
      <w:r>
        <w:rPr>
          <w:sz w:val="20"/>
        </w:rPr>
        <w:t xml:space="preserve">на реализацию которых запрашивается субсидия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721"/>
        <w:gridCol w:w="1757"/>
        <w:gridCol w:w="1531"/>
        <w:gridCol w:w="1531"/>
        <w:gridCol w:w="1247"/>
        <w:gridCol w:w="794"/>
      </w:tblGrid>
      <w:tr>
        <w:tc>
          <w:tcPr>
            <w:tcW w:w="567" w:type="dxa"/>
          </w:tcPr>
          <w:p>
            <w:pPr>
              <w:pStyle w:val="0"/>
              <w:jc w:val="center"/>
            </w:pPr>
            <w:r>
              <w:rPr>
                <w:sz w:val="20"/>
              </w:rPr>
              <w:t xml:space="preserve">N</w:t>
            </w:r>
          </w:p>
          <w:p>
            <w:pPr>
              <w:pStyle w:val="0"/>
              <w:jc w:val="center"/>
            </w:pPr>
            <w:r>
              <w:rPr>
                <w:sz w:val="20"/>
              </w:rPr>
              <w:t xml:space="preserve">п/п</w:t>
            </w:r>
          </w:p>
        </w:tc>
        <w:tc>
          <w:tcPr>
            <w:tcW w:w="2721" w:type="dxa"/>
          </w:tcPr>
          <w:p>
            <w:pPr>
              <w:pStyle w:val="0"/>
            </w:pPr>
            <w:r>
              <w:rPr>
                <w:sz w:val="20"/>
              </w:rPr>
              <w:t xml:space="preserve">Наименование мероприятия</w:t>
            </w:r>
          </w:p>
        </w:tc>
        <w:tc>
          <w:tcPr>
            <w:tcW w:w="1757" w:type="dxa"/>
          </w:tcPr>
          <w:p>
            <w:pPr>
              <w:pStyle w:val="0"/>
            </w:pPr>
            <w:r>
              <w:rPr>
                <w:sz w:val="20"/>
              </w:rPr>
              <w:t xml:space="preserve">Наименование статьи расходов по каждому мероприятию</w:t>
            </w:r>
          </w:p>
        </w:tc>
        <w:tc>
          <w:tcPr>
            <w:tcW w:w="1531" w:type="dxa"/>
          </w:tcPr>
          <w:p>
            <w:pPr>
              <w:pStyle w:val="0"/>
            </w:pPr>
            <w:r>
              <w:rPr>
                <w:sz w:val="20"/>
              </w:rPr>
              <w:t xml:space="preserve">Обоснование планируемых затрат</w:t>
            </w:r>
          </w:p>
        </w:tc>
        <w:tc>
          <w:tcPr>
            <w:tcW w:w="1531" w:type="dxa"/>
          </w:tcPr>
          <w:p>
            <w:pPr>
              <w:pStyle w:val="0"/>
            </w:pPr>
            <w:r>
              <w:rPr>
                <w:sz w:val="20"/>
              </w:rPr>
              <w:t xml:space="preserve">Количество единиц (с указанием названия единицы - чел., мес., шт. и т.д.)</w:t>
            </w:r>
          </w:p>
        </w:tc>
        <w:tc>
          <w:tcPr>
            <w:tcW w:w="1247" w:type="dxa"/>
          </w:tcPr>
          <w:p>
            <w:pPr>
              <w:pStyle w:val="0"/>
            </w:pPr>
            <w:r>
              <w:rPr>
                <w:sz w:val="20"/>
              </w:rPr>
              <w:t xml:space="preserve">Стоимость единицы (руб.)</w:t>
            </w:r>
          </w:p>
        </w:tc>
        <w:tc>
          <w:tcPr>
            <w:tcW w:w="794" w:type="dxa"/>
          </w:tcPr>
          <w:p>
            <w:pPr>
              <w:pStyle w:val="0"/>
            </w:pPr>
            <w:r>
              <w:rPr>
                <w:sz w:val="20"/>
              </w:rPr>
              <w:t xml:space="preserve">Сумма затрат (руб.)</w:t>
            </w:r>
          </w:p>
        </w:tc>
      </w:tr>
      <w:tr>
        <w:tc>
          <w:tcPr>
            <w:tcW w:w="567" w:type="dxa"/>
          </w:tcPr>
          <w:p>
            <w:pPr>
              <w:pStyle w:val="0"/>
            </w:pPr>
            <w:r>
              <w:rPr>
                <w:sz w:val="20"/>
              </w:rPr>
              <w:t xml:space="preserve">1.</w:t>
            </w:r>
          </w:p>
        </w:tc>
        <w:tc>
          <w:tcPr>
            <w:tcW w:w="2721" w:type="dxa"/>
          </w:tcPr>
          <w:p>
            <w:pPr>
              <w:pStyle w:val="0"/>
            </w:pPr>
            <w:r>
              <w:rPr>
                <w:sz w:val="20"/>
              </w:rPr>
            </w:r>
          </w:p>
        </w:tc>
        <w:tc>
          <w:tcPr>
            <w:tcW w:w="1757" w:type="dxa"/>
          </w:tcPr>
          <w:p>
            <w:pPr>
              <w:pStyle w:val="0"/>
            </w:pPr>
            <w:r>
              <w:rPr>
                <w:sz w:val="20"/>
              </w:rPr>
            </w:r>
          </w:p>
        </w:tc>
        <w:tc>
          <w:tcPr>
            <w:tcW w:w="1531"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794" w:type="dxa"/>
          </w:tcPr>
          <w:p>
            <w:pPr>
              <w:pStyle w:val="0"/>
            </w:pPr>
            <w:r>
              <w:rPr>
                <w:sz w:val="20"/>
              </w:rPr>
            </w:r>
          </w:p>
        </w:tc>
      </w:tr>
      <w:tr>
        <w:tc>
          <w:tcPr>
            <w:tcW w:w="567" w:type="dxa"/>
          </w:tcPr>
          <w:p>
            <w:pPr>
              <w:pStyle w:val="0"/>
            </w:pPr>
            <w:r>
              <w:rPr>
                <w:sz w:val="20"/>
              </w:rPr>
            </w:r>
          </w:p>
        </w:tc>
        <w:tc>
          <w:tcPr>
            <w:tcW w:w="2721" w:type="dxa"/>
          </w:tcPr>
          <w:p>
            <w:pPr>
              <w:pStyle w:val="0"/>
            </w:pPr>
            <w:r>
              <w:rPr>
                <w:sz w:val="20"/>
              </w:rPr>
              <w:t xml:space="preserve">Итого по мероприятию в разрезе статей расходов</w:t>
            </w:r>
          </w:p>
        </w:tc>
        <w:tc>
          <w:tcPr>
            <w:tcW w:w="1757" w:type="dxa"/>
          </w:tcPr>
          <w:p>
            <w:pPr>
              <w:pStyle w:val="0"/>
            </w:pPr>
            <w:r>
              <w:rPr>
                <w:sz w:val="20"/>
              </w:rPr>
            </w:r>
          </w:p>
        </w:tc>
        <w:tc>
          <w:tcPr>
            <w:tcW w:w="1531"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794" w:type="dxa"/>
          </w:tcPr>
          <w:p>
            <w:pPr>
              <w:pStyle w:val="0"/>
            </w:pPr>
            <w:r>
              <w:rPr>
                <w:sz w:val="20"/>
              </w:rPr>
            </w:r>
          </w:p>
        </w:tc>
      </w:tr>
      <w:tr>
        <w:tc>
          <w:tcPr>
            <w:tcW w:w="567" w:type="dxa"/>
          </w:tcPr>
          <w:p>
            <w:pPr>
              <w:pStyle w:val="0"/>
            </w:pPr>
            <w:r>
              <w:rPr>
                <w:sz w:val="20"/>
              </w:rPr>
              <w:t xml:space="preserve">2.</w:t>
            </w:r>
          </w:p>
        </w:tc>
        <w:tc>
          <w:tcPr>
            <w:tcW w:w="2721" w:type="dxa"/>
          </w:tcPr>
          <w:p>
            <w:pPr>
              <w:pStyle w:val="0"/>
            </w:pPr>
            <w:r>
              <w:rPr>
                <w:sz w:val="20"/>
              </w:rPr>
            </w:r>
          </w:p>
        </w:tc>
        <w:tc>
          <w:tcPr>
            <w:tcW w:w="1757" w:type="dxa"/>
          </w:tcPr>
          <w:p>
            <w:pPr>
              <w:pStyle w:val="0"/>
            </w:pPr>
            <w:r>
              <w:rPr>
                <w:sz w:val="20"/>
              </w:rPr>
            </w:r>
          </w:p>
        </w:tc>
        <w:tc>
          <w:tcPr>
            <w:tcW w:w="1531"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794" w:type="dxa"/>
          </w:tcPr>
          <w:p>
            <w:pPr>
              <w:pStyle w:val="0"/>
            </w:pPr>
            <w:r>
              <w:rPr>
                <w:sz w:val="20"/>
              </w:rPr>
            </w:r>
          </w:p>
        </w:tc>
      </w:tr>
      <w:tr>
        <w:tc>
          <w:tcPr>
            <w:tcW w:w="567" w:type="dxa"/>
          </w:tcPr>
          <w:p>
            <w:pPr>
              <w:pStyle w:val="0"/>
            </w:pPr>
            <w:r>
              <w:rPr>
                <w:sz w:val="20"/>
              </w:rPr>
            </w:r>
          </w:p>
        </w:tc>
        <w:tc>
          <w:tcPr>
            <w:tcW w:w="2721" w:type="dxa"/>
          </w:tcPr>
          <w:p>
            <w:pPr>
              <w:pStyle w:val="0"/>
            </w:pPr>
            <w:r>
              <w:rPr>
                <w:sz w:val="20"/>
              </w:rPr>
              <w:t xml:space="preserve">Итого по мероприятию в разрезе статей расходов</w:t>
            </w:r>
          </w:p>
        </w:tc>
        <w:tc>
          <w:tcPr>
            <w:tcW w:w="1757" w:type="dxa"/>
          </w:tcPr>
          <w:p>
            <w:pPr>
              <w:pStyle w:val="0"/>
            </w:pPr>
            <w:r>
              <w:rPr>
                <w:sz w:val="20"/>
              </w:rPr>
            </w:r>
          </w:p>
        </w:tc>
        <w:tc>
          <w:tcPr>
            <w:tcW w:w="1531"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794" w:type="dxa"/>
          </w:tcPr>
          <w:p>
            <w:pPr>
              <w:pStyle w:val="0"/>
            </w:pPr>
            <w:r>
              <w:rPr>
                <w:sz w:val="20"/>
              </w:rPr>
            </w:r>
          </w:p>
        </w:tc>
      </w:tr>
      <w:tr>
        <w:tc>
          <w:tcPr>
            <w:tcW w:w="567" w:type="dxa"/>
          </w:tcPr>
          <w:p>
            <w:pPr>
              <w:pStyle w:val="0"/>
            </w:pPr>
            <w:r>
              <w:rPr>
                <w:sz w:val="20"/>
              </w:rPr>
            </w:r>
          </w:p>
        </w:tc>
        <w:tc>
          <w:tcPr>
            <w:tcW w:w="2721" w:type="dxa"/>
          </w:tcPr>
          <w:p>
            <w:pPr>
              <w:pStyle w:val="0"/>
            </w:pPr>
            <w:r>
              <w:rPr>
                <w:sz w:val="20"/>
              </w:rPr>
              <w:t xml:space="preserve">Итого сумма субсидии</w:t>
            </w:r>
          </w:p>
        </w:tc>
        <w:tc>
          <w:tcPr>
            <w:tcW w:w="1757" w:type="dxa"/>
          </w:tcPr>
          <w:p>
            <w:pPr>
              <w:pStyle w:val="0"/>
            </w:pPr>
            <w:r>
              <w:rPr>
                <w:sz w:val="20"/>
              </w:rPr>
            </w:r>
          </w:p>
        </w:tc>
        <w:tc>
          <w:tcPr>
            <w:tcW w:w="1531" w:type="dxa"/>
          </w:tcPr>
          <w:p>
            <w:pPr>
              <w:pStyle w:val="0"/>
            </w:pPr>
            <w:r>
              <w:rPr>
                <w:sz w:val="20"/>
              </w:rPr>
            </w:r>
          </w:p>
        </w:tc>
        <w:tc>
          <w:tcPr>
            <w:tcW w:w="1531" w:type="dxa"/>
          </w:tcPr>
          <w:p>
            <w:pPr>
              <w:pStyle w:val="0"/>
            </w:pPr>
            <w:r>
              <w:rPr>
                <w:sz w:val="20"/>
              </w:rPr>
            </w:r>
          </w:p>
        </w:tc>
        <w:tc>
          <w:tcPr>
            <w:tcW w:w="1247" w:type="dxa"/>
          </w:tcPr>
          <w:p>
            <w:pPr>
              <w:pStyle w:val="0"/>
            </w:pPr>
            <w:r>
              <w:rPr>
                <w:sz w:val="20"/>
              </w:rPr>
            </w:r>
          </w:p>
        </w:tc>
        <w:tc>
          <w:tcPr>
            <w:tcW w:w="79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335"/>
        <w:gridCol w:w="1757"/>
        <w:gridCol w:w="371"/>
        <w:gridCol w:w="3577"/>
      </w:tblGrid>
      <w:tr>
        <w:tc>
          <w:tcPr>
            <w:gridSpan w:val="4"/>
            <w:tcW w:w="9040" w:type="dxa"/>
            <w:tcBorders>
              <w:top w:val="nil"/>
              <w:left w:val="nil"/>
              <w:bottom w:val="nil"/>
              <w:right w:val="nil"/>
            </w:tcBorders>
          </w:tcPr>
          <w:p>
            <w:pPr>
              <w:pStyle w:val="0"/>
            </w:pPr>
            <w:r>
              <w:rPr>
                <w:sz w:val="20"/>
              </w:rPr>
              <w:t xml:space="preserve">Руководитель общества</w:t>
            </w:r>
          </w:p>
        </w:tc>
      </w:tr>
      <w:tr>
        <w:tc>
          <w:tcPr>
            <w:tcW w:w="3335" w:type="dxa"/>
            <w:tcBorders>
              <w:top w:val="nil"/>
              <w:left w:val="nil"/>
              <w:bottom w:val="nil"/>
              <w:right w:val="nil"/>
            </w:tcBorders>
          </w:tcPr>
          <w:p>
            <w:pPr>
              <w:pStyle w:val="0"/>
            </w:pPr>
            <w:r>
              <w:rPr>
                <w:sz w:val="20"/>
              </w:rPr>
              <w:t xml:space="preserve">(уполномоченное лицо)</w:t>
            </w:r>
          </w:p>
        </w:tc>
        <w:tc>
          <w:tcPr>
            <w:tcW w:w="1757"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jc w:val="center"/>
            </w:pPr>
            <w:r>
              <w:rPr>
                <w:sz w:val="20"/>
              </w:rPr>
              <w:t xml:space="preserve">/</w:t>
            </w:r>
          </w:p>
        </w:tc>
        <w:tc>
          <w:tcPr>
            <w:tcW w:w="3577" w:type="dxa"/>
            <w:tcBorders>
              <w:top w:val="nil"/>
              <w:left w:val="nil"/>
              <w:bottom w:val="single" w:sz="4"/>
              <w:right w:val="nil"/>
            </w:tcBorders>
          </w:tcPr>
          <w:p>
            <w:pPr>
              <w:pStyle w:val="0"/>
            </w:pPr>
            <w:r>
              <w:rPr>
                <w:sz w:val="20"/>
              </w:rPr>
            </w:r>
          </w:p>
        </w:tc>
      </w:tr>
      <w:tr>
        <w:tc>
          <w:tcPr>
            <w:tcW w:w="3335"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tcW w:w="3335" w:type="dxa"/>
            <w:tcBorders>
              <w:top w:val="nil"/>
              <w:left w:val="nil"/>
              <w:bottom w:val="nil"/>
              <w:right w:val="nil"/>
            </w:tcBorders>
          </w:tcPr>
          <w:p>
            <w:pPr>
              <w:pStyle w:val="0"/>
            </w:pPr>
            <w:r>
              <w:rPr>
                <w:sz w:val="20"/>
              </w:rPr>
              <w:t xml:space="preserve">Главный бухгалтер</w:t>
            </w:r>
          </w:p>
        </w:tc>
        <w:tc>
          <w:tcPr>
            <w:tcW w:w="1757"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jc w:val="center"/>
            </w:pPr>
            <w:r>
              <w:rPr>
                <w:sz w:val="20"/>
              </w:rPr>
              <w:t xml:space="preserve">/</w:t>
            </w:r>
          </w:p>
        </w:tc>
        <w:tc>
          <w:tcPr>
            <w:tcW w:w="3577" w:type="dxa"/>
            <w:tcBorders>
              <w:top w:val="nil"/>
              <w:left w:val="nil"/>
              <w:bottom w:val="single" w:sz="4"/>
              <w:right w:val="nil"/>
            </w:tcBorders>
          </w:tcPr>
          <w:p>
            <w:pPr>
              <w:pStyle w:val="0"/>
            </w:pPr>
            <w:r>
              <w:rPr>
                <w:sz w:val="20"/>
              </w:rPr>
            </w:r>
          </w:p>
        </w:tc>
      </w:tr>
      <w:tr>
        <w:tc>
          <w:tcPr>
            <w:tcW w:w="3335"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40" w:type="dxa"/>
            <w:tcBorders>
              <w:top w:val="nil"/>
              <w:left w:val="nil"/>
              <w:bottom w:val="nil"/>
              <w:right w:val="nil"/>
            </w:tcBorders>
          </w:tcPr>
          <w:p>
            <w:pPr>
              <w:pStyle w:val="0"/>
              <w:jc w:val="both"/>
            </w:pPr>
            <w:r>
              <w:rPr>
                <w:sz w:val="20"/>
              </w:rPr>
              <w:t xml:space="preserve">"__"__________ 20__ г.</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Порядку</w:t>
      </w:r>
    </w:p>
    <w:p>
      <w:pPr>
        <w:pStyle w:val="0"/>
        <w:jc w:val="both"/>
      </w:pPr>
      <w:r>
        <w:rPr>
          <w:sz w:val="20"/>
        </w:rPr>
      </w:r>
    </w:p>
    <w:bookmarkStart w:id="378" w:name="P378"/>
    <w:bookmarkEnd w:id="378"/>
    <w:p>
      <w:pPr>
        <w:pStyle w:val="0"/>
        <w:jc w:val="center"/>
      </w:pPr>
      <w:r>
        <w:rPr>
          <w:sz w:val="20"/>
        </w:rPr>
        <w:t xml:space="preserve">ПЛАН</w:t>
      </w:r>
    </w:p>
    <w:p>
      <w:pPr>
        <w:pStyle w:val="0"/>
        <w:jc w:val="center"/>
      </w:pPr>
      <w:r>
        <w:rPr>
          <w:sz w:val="20"/>
        </w:rPr>
        <w:t xml:space="preserve">мероприятий, на реализацию которых запрашивается субсидия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814"/>
        <w:gridCol w:w="1701"/>
        <w:gridCol w:w="1644"/>
        <w:gridCol w:w="1587"/>
        <w:gridCol w:w="1757"/>
      </w:tblGrid>
      <w:tr>
        <w:tc>
          <w:tcPr>
            <w:tcW w:w="567" w:type="dxa"/>
          </w:tcPr>
          <w:p>
            <w:pPr>
              <w:pStyle w:val="0"/>
              <w:jc w:val="center"/>
            </w:pPr>
            <w:r>
              <w:rPr>
                <w:sz w:val="20"/>
              </w:rPr>
              <w:t xml:space="preserve">N</w:t>
            </w:r>
          </w:p>
          <w:p>
            <w:pPr>
              <w:pStyle w:val="0"/>
              <w:jc w:val="center"/>
            </w:pPr>
            <w:r>
              <w:rPr>
                <w:sz w:val="20"/>
              </w:rPr>
              <w:t xml:space="preserve">п/п</w:t>
            </w:r>
          </w:p>
        </w:tc>
        <w:tc>
          <w:tcPr>
            <w:tcW w:w="1814" w:type="dxa"/>
          </w:tcPr>
          <w:p>
            <w:pPr>
              <w:pStyle w:val="0"/>
            </w:pPr>
            <w:r>
              <w:rPr>
                <w:sz w:val="20"/>
              </w:rPr>
              <w:t xml:space="preserve">Наименование мероприятия</w:t>
            </w:r>
          </w:p>
        </w:tc>
        <w:tc>
          <w:tcPr>
            <w:tcW w:w="1701" w:type="dxa"/>
          </w:tcPr>
          <w:p>
            <w:pPr>
              <w:pStyle w:val="0"/>
            </w:pPr>
            <w:r>
              <w:rPr>
                <w:sz w:val="20"/>
              </w:rPr>
              <w:t xml:space="preserve">Результат мероприятия (исполнение контрольных точек в полном объеме)</w:t>
            </w:r>
          </w:p>
        </w:tc>
        <w:tc>
          <w:tcPr>
            <w:tcW w:w="1644" w:type="dxa"/>
          </w:tcPr>
          <w:p>
            <w:pPr>
              <w:pStyle w:val="0"/>
            </w:pPr>
            <w:r>
              <w:rPr>
                <w:sz w:val="20"/>
              </w:rPr>
              <w:t xml:space="preserve">Срок начала реализации мероприятия</w:t>
            </w:r>
          </w:p>
        </w:tc>
        <w:tc>
          <w:tcPr>
            <w:tcW w:w="1587" w:type="dxa"/>
          </w:tcPr>
          <w:p>
            <w:pPr>
              <w:pStyle w:val="0"/>
            </w:pPr>
            <w:r>
              <w:rPr>
                <w:sz w:val="20"/>
              </w:rPr>
              <w:t xml:space="preserve">Срок окончания реализации мероприятия</w:t>
            </w:r>
          </w:p>
        </w:tc>
        <w:tc>
          <w:tcPr>
            <w:tcW w:w="1757" w:type="dxa"/>
          </w:tcPr>
          <w:p>
            <w:pPr>
              <w:pStyle w:val="0"/>
            </w:pPr>
            <w:r>
              <w:rPr>
                <w:sz w:val="20"/>
              </w:rPr>
              <w:t xml:space="preserve">Плановое количество участников мероприятия, относящихся к старшему поколению (чел.)</w:t>
            </w:r>
          </w:p>
        </w:tc>
      </w:tr>
      <w:tr>
        <w:tc>
          <w:tcPr>
            <w:tcW w:w="567" w:type="dxa"/>
          </w:tcPr>
          <w:p>
            <w:pPr>
              <w:pStyle w:val="0"/>
            </w:pPr>
            <w:r>
              <w:rPr>
                <w:sz w:val="20"/>
              </w:rPr>
              <w:t xml:space="preserve">1.</w:t>
            </w:r>
          </w:p>
        </w:tc>
        <w:tc>
          <w:tcPr>
            <w:tcW w:w="1814"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1757" w:type="dxa"/>
          </w:tcPr>
          <w:p>
            <w:pPr>
              <w:pStyle w:val="0"/>
            </w:pPr>
            <w:r>
              <w:rPr>
                <w:sz w:val="20"/>
              </w:rPr>
            </w:r>
          </w:p>
        </w:tc>
      </w:tr>
      <w:tr>
        <w:tc>
          <w:tcPr>
            <w:tcW w:w="567" w:type="dxa"/>
          </w:tcPr>
          <w:p>
            <w:pPr>
              <w:pStyle w:val="0"/>
            </w:pPr>
            <w:r>
              <w:rPr>
                <w:sz w:val="20"/>
              </w:rPr>
              <w:t xml:space="preserve">2.</w:t>
            </w:r>
          </w:p>
        </w:tc>
        <w:tc>
          <w:tcPr>
            <w:tcW w:w="1814"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1757" w:type="dxa"/>
          </w:tcPr>
          <w:p>
            <w:pPr>
              <w:pStyle w:val="0"/>
            </w:pPr>
            <w:r>
              <w:rPr>
                <w:sz w:val="20"/>
              </w:rPr>
            </w:r>
          </w:p>
        </w:tc>
      </w:tr>
      <w:tr>
        <w:tc>
          <w:tcPr>
            <w:tcW w:w="567" w:type="dxa"/>
          </w:tcPr>
          <w:p>
            <w:pPr>
              <w:pStyle w:val="0"/>
            </w:pPr>
            <w:r>
              <w:rPr>
                <w:sz w:val="20"/>
              </w:rPr>
              <w:t xml:space="preserve">3.</w:t>
            </w:r>
          </w:p>
        </w:tc>
        <w:tc>
          <w:tcPr>
            <w:tcW w:w="1814"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1757" w:type="dxa"/>
          </w:tcPr>
          <w:p>
            <w:pPr>
              <w:pStyle w:val="0"/>
            </w:pPr>
            <w:r>
              <w:rPr>
                <w:sz w:val="20"/>
              </w:rPr>
            </w:r>
          </w:p>
        </w:tc>
      </w:tr>
      <w:tr>
        <w:tc>
          <w:tcPr>
            <w:tcW w:w="567" w:type="dxa"/>
          </w:tcPr>
          <w:p>
            <w:pPr>
              <w:pStyle w:val="0"/>
            </w:pPr>
            <w:r>
              <w:rPr>
                <w:sz w:val="20"/>
              </w:rPr>
              <w:t xml:space="preserve">...</w:t>
            </w:r>
          </w:p>
        </w:tc>
        <w:tc>
          <w:tcPr>
            <w:tcW w:w="1814"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175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335"/>
        <w:gridCol w:w="1757"/>
        <w:gridCol w:w="371"/>
        <w:gridCol w:w="3577"/>
      </w:tblGrid>
      <w:tr>
        <w:tc>
          <w:tcPr>
            <w:gridSpan w:val="4"/>
            <w:tcW w:w="9040" w:type="dxa"/>
            <w:tcBorders>
              <w:top w:val="nil"/>
              <w:left w:val="nil"/>
              <w:bottom w:val="nil"/>
              <w:right w:val="nil"/>
            </w:tcBorders>
          </w:tcPr>
          <w:p>
            <w:pPr>
              <w:pStyle w:val="0"/>
            </w:pPr>
            <w:r>
              <w:rPr>
                <w:sz w:val="20"/>
              </w:rPr>
              <w:t xml:space="preserve">Руководитель общества</w:t>
            </w:r>
          </w:p>
        </w:tc>
      </w:tr>
      <w:tr>
        <w:tc>
          <w:tcPr>
            <w:tcW w:w="3335" w:type="dxa"/>
            <w:tcBorders>
              <w:top w:val="nil"/>
              <w:left w:val="nil"/>
              <w:bottom w:val="nil"/>
              <w:right w:val="nil"/>
            </w:tcBorders>
          </w:tcPr>
          <w:p>
            <w:pPr>
              <w:pStyle w:val="0"/>
            </w:pPr>
            <w:r>
              <w:rPr>
                <w:sz w:val="20"/>
              </w:rPr>
              <w:t xml:space="preserve">(уполномоченное лицо)</w:t>
            </w:r>
          </w:p>
        </w:tc>
        <w:tc>
          <w:tcPr>
            <w:tcW w:w="1757"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jc w:val="center"/>
            </w:pPr>
            <w:r>
              <w:rPr>
                <w:sz w:val="20"/>
              </w:rPr>
              <w:t xml:space="preserve">/</w:t>
            </w:r>
          </w:p>
        </w:tc>
        <w:tc>
          <w:tcPr>
            <w:tcW w:w="3577" w:type="dxa"/>
            <w:tcBorders>
              <w:top w:val="nil"/>
              <w:left w:val="nil"/>
              <w:bottom w:val="single" w:sz="4"/>
              <w:right w:val="nil"/>
            </w:tcBorders>
          </w:tcPr>
          <w:p>
            <w:pPr>
              <w:pStyle w:val="0"/>
            </w:pPr>
            <w:r>
              <w:rPr>
                <w:sz w:val="20"/>
              </w:rPr>
            </w:r>
          </w:p>
        </w:tc>
      </w:tr>
      <w:tr>
        <w:tc>
          <w:tcPr>
            <w:tcW w:w="3335"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tcW w:w="3335" w:type="dxa"/>
            <w:tcBorders>
              <w:top w:val="nil"/>
              <w:left w:val="nil"/>
              <w:bottom w:val="nil"/>
              <w:right w:val="nil"/>
            </w:tcBorders>
          </w:tcPr>
          <w:p>
            <w:pPr>
              <w:pStyle w:val="0"/>
            </w:pPr>
            <w:r>
              <w:rPr>
                <w:sz w:val="20"/>
              </w:rPr>
              <w:t xml:space="preserve">Главный бухгалтер</w:t>
            </w:r>
          </w:p>
        </w:tc>
        <w:tc>
          <w:tcPr>
            <w:tcW w:w="1757" w:type="dxa"/>
            <w:tcBorders>
              <w:top w:val="nil"/>
              <w:left w:val="nil"/>
              <w:bottom w:val="single" w:sz="4"/>
              <w:right w:val="nil"/>
            </w:tcBorders>
          </w:tcPr>
          <w:p>
            <w:pPr>
              <w:pStyle w:val="0"/>
            </w:pPr>
            <w:r>
              <w:rPr>
                <w:sz w:val="20"/>
              </w:rPr>
            </w:r>
          </w:p>
        </w:tc>
        <w:tc>
          <w:tcPr>
            <w:tcW w:w="371" w:type="dxa"/>
            <w:tcBorders>
              <w:top w:val="nil"/>
              <w:left w:val="nil"/>
              <w:bottom w:val="nil"/>
              <w:right w:val="nil"/>
            </w:tcBorders>
          </w:tcPr>
          <w:p>
            <w:pPr>
              <w:pStyle w:val="0"/>
              <w:jc w:val="center"/>
            </w:pPr>
            <w:r>
              <w:rPr>
                <w:sz w:val="20"/>
              </w:rPr>
              <w:t xml:space="preserve">/</w:t>
            </w:r>
          </w:p>
        </w:tc>
        <w:tc>
          <w:tcPr>
            <w:tcW w:w="3577" w:type="dxa"/>
            <w:tcBorders>
              <w:top w:val="nil"/>
              <w:left w:val="nil"/>
              <w:bottom w:val="single" w:sz="4"/>
              <w:right w:val="nil"/>
            </w:tcBorders>
          </w:tcPr>
          <w:p>
            <w:pPr>
              <w:pStyle w:val="0"/>
            </w:pPr>
            <w:r>
              <w:rPr>
                <w:sz w:val="20"/>
              </w:rPr>
            </w:r>
          </w:p>
        </w:tc>
      </w:tr>
      <w:tr>
        <w:tc>
          <w:tcPr>
            <w:tcW w:w="3335"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(подпись)</w:t>
            </w:r>
          </w:p>
        </w:tc>
        <w:tc>
          <w:tcPr>
            <w:tcW w:w="371" w:type="dxa"/>
            <w:tcBorders>
              <w:top w:val="nil"/>
              <w:left w:val="nil"/>
              <w:bottom w:val="nil"/>
              <w:right w:val="nil"/>
            </w:tcBorders>
          </w:tcPr>
          <w:p>
            <w:pPr>
              <w:pStyle w:val="0"/>
            </w:pPr>
            <w:r>
              <w:rPr>
                <w:sz w:val="20"/>
              </w:rPr>
            </w:r>
          </w:p>
        </w:tc>
        <w:tc>
          <w:tcPr>
            <w:tcW w:w="3577"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40" w:type="dxa"/>
            <w:tcBorders>
              <w:top w:val="nil"/>
              <w:left w:val="nil"/>
              <w:bottom w:val="nil"/>
              <w:right w:val="nil"/>
            </w:tcBorders>
          </w:tcPr>
          <w:p>
            <w:pPr>
              <w:pStyle w:val="0"/>
              <w:jc w:val="both"/>
            </w:pPr>
            <w:r>
              <w:rPr>
                <w:sz w:val="20"/>
              </w:rPr>
              <w:t xml:space="preserve">"__"__________ 20__ г.</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Порядку</w:t>
      </w:r>
    </w:p>
    <w:p>
      <w:pPr>
        <w:pStyle w:val="0"/>
        <w:jc w:val="both"/>
      </w:pPr>
      <w:r>
        <w:rPr>
          <w:sz w:val="20"/>
        </w:rPr>
      </w:r>
    </w:p>
    <w:tbl>
      <w:tblPr>
        <w:tblInd w:w="0" w:type="dxa"/>
        <w:tblLayout w:type="fixed"/>
        <w:tblCellMar>
          <w:top w:w="102" w:type="dxa"/>
          <w:left w:w="62" w:type="dxa"/>
          <w:bottom w:w="102" w:type="dxa"/>
          <w:right w:w="62" w:type="dxa"/>
        </w:tblCellMar>
      </w:tblPr>
      <w:tblGrid>
        <w:gridCol w:w="935"/>
        <w:gridCol w:w="2267"/>
        <w:gridCol w:w="1668"/>
        <w:gridCol w:w="372"/>
        <w:gridCol w:w="3433"/>
        <w:gridCol w:w="396"/>
      </w:tblGrid>
      <w:tr>
        <w:tc>
          <w:tcPr>
            <w:gridSpan w:val="6"/>
            <w:tcW w:w="9071" w:type="dxa"/>
            <w:tcBorders>
              <w:top w:val="nil"/>
              <w:left w:val="nil"/>
              <w:bottom w:val="nil"/>
              <w:right w:val="nil"/>
            </w:tcBorders>
          </w:tcPr>
          <w:bookmarkStart w:id="439" w:name="P439"/>
          <w:bookmarkEnd w:id="439"/>
          <w:p>
            <w:pPr>
              <w:pStyle w:val="0"/>
              <w:jc w:val="center"/>
            </w:pPr>
            <w:r>
              <w:rPr>
                <w:sz w:val="20"/>
              </w:rPr>
              <w:t xml:space="preserve">СОГЛАСИЕ</w:t>
            </w:r>
          </w:p>
          <w:p>
            <w:pPr>
              <w:pStyle w:val="0"/>
              <w:jc w:val="center"/>
            </w:pPr>
            <w:r>
              <w:rPr>
                <w:sz w:val="20"/>
              </w:rPr>
              <w:t xml:space="preserve">на осуществление Министерством внутренней политики области</w:t>
            </w:r>
          </w:p>
          <w:p>
            <w:pPr>
              <w:pStyle w:val="0"/>
              <w:jc w:val="center"/>
            </w:pPr>
            <w:r>
              <w:rPr>
                <w:sz w:val="20"/>
              </w:rPr>
              <w:t xml:space="preserve">и органами государственного финансового контроля проверок</w:t>
            </w:r>
          </w:p>
          <w:p>
            <w:pPr>
              <w:pStyle w:val="0"/>
              <w:jc w:val="center"/>
            </w:pPr>
            <w:r>
              <w:rPr>
                <w:sz w:val="20"/>
              </w:rPr>
              <w:t xml:space="preserve">соблюдения порядка и условий предоставления субсидии</w:t>
            </w:r>
          </w:p>
          <w:p>
            <w:pPr>
              <w:pStyle w:val="0"/>
              <w:jc w:val="center"/>
            </w:pPr>
            <w:r>
              <w:rPr>
                <w:sz w:val="20"/>
              </w:rPr>
              <w:t xml:space="preserve">на финансовое обеспечение затрат по проведению мероприятий</w:t>
            </w:r>
          </w:p>
        </w:tc>
      </w:tr>
      <w:tr>
        <w:tc>
          <w:tcPr>
            <w:gridSpan w:val="6"/>
            <w:tcW w:w="9071"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ind w:firstLine="283"/>
              <w:jc w:val="both"/>
            </w:pPr>
            <w:r>
              <w:rPr>
                <w:sz w:val="20"/>
              </w:rPr>
              <w:t xml:space="preserve">В соответствии с Порядком предоставления государственной поддержки отдельным некоммерческим организациям, утвержденным постановлением Правительства области от "__"__________ 20__ года N _______,</w:t>
            </w:r>
          </w:p>
        </w:tc>
      </w:tr>
      <w:tr>
        <w:tc>
          <w:tcPr>
            <w:gridSpan w:val="6"/>
            <w:tcW w:w="9071" w:type="dxa"/>
            <w:tcBorders>
              <w:top w:val="nil"/>
              <w:left w:val="nil"/>
              <w:bottom w:val="single" w:sz="4"/>
              <w:right w:val="nil"/>
            </w:tcBorders>
          </w:tcPr>
          <w:p>
            <w:pPr>
              <w:pStyle w:val="0"/>
            </w:pPr>
            <w:r>
              <w:rPr>
                <w:sz w:val="20"/>
              </w:rPr>
            </w:r>
          </w:p>
        </w:tc>
      </w:tr>
      <w:tr>
        <w:tc>
          <w:tcPr>
            <w:gridSpan w:val="6"/>
            <w:tcW w:w="9071" w:type="dxa"/>
            <w:tcBorders>
              <w:top w:val="single" w:sz="4"/>
              <w:left w:val="nil"/>
              <w:bottom w:val="nil"/>
              <w:right w:val="nil"/>
            </w:tcBorders>
          </w:tcPr>
          <w:p>
            <w:pPr>
              <w:pStyle w:val="0"/>
              <w:jc w:val="center"/>
            </w:pPr>
            <w:r>
              <w:rPr>
                <w:sz w:val="20"/>
              </w:rPr>
              <w:t xml:space="preserve">(наименование организации, ИНН)</w:t>
            </w:r>
          </w:p>
        </w:tc>
      </w:tr>
      <w:tr>
        <w:tc>
          <w:tcPr>
            <w:tcW w:w="935" w:type="dxa"/>
            <w:tcBorders>
              <w:top w:val="nil"/>
              <w:left w:val="nil"/>
              <w:bottom w:val="nil"/>
              <w:right w:val="nil"/>
            </w:tcBorders>
          </w:tcPr>
          <w:p>
            <w:pPr>
              <w:pStyle w:val="0"/>
              <w:jc w:val="both"/>
            </w:pPr>
            <w:r>
              <w:rPr>
                <w:sz w:val="20"/>
              </w:rPr>
              <w:t xml:space="preserve">в лице</w:t>
            </w:r>
          </w:p>
        </w:tc>
        <w:tc>
          <w:tcPr>
            <w:gridSpan w:val="4"/>
            <w:tcW w:w="7740" w:type="dxa"/>
            <w:tcBorders>
              <w:top w:val="nil"/>
              <w:left w:val="nil"/>
              <w:bottom w:val="single" w:sz="4"/>
              <w:right w:val="nil"/>
            </w:tcBorders>
          </w:tcPr>
          <w:p>
            <w:pPr>
              <w:pStyle w:val="0"/>
            </w:pPr>
            <w:r>
              <w:rPr>
                <w:sz w:val="20"/>
              </w:rPr>
            </w:r>
          </w:p>
        </w:tc>
        <w:tc>
          <w:tcPr>
            <w:tcW w:w="396" w:type="dxa"/>
            <w:tcBorders>
              <w:top w:val="nil"/>
              <w:left w:val="nil"/>
              <w:bottom w:val="nil"/>
              <w:right w:val="nil"/>
            </w:tcBorders>
          </w:tcPr>
          <w:p>
            <w:pPr>
              <w:pStyle w:val="0"/>
              <w:jc w:val="both"/>
            </w:pPr>
            <w:r>
              <w:rPr>
                <w:sz w:val="20"/>
              </w:rPr>
              <w:t xml:space="preserve">,</w:t>
            </w:r>
          </w:p>
        </w:tc>
      </w:tr>
      <w:tr>
        <w:tc>
          <w:tcPr>
            <w:tcW w:w="935" w:type="dxa"/>
            <w:tcBorders>
              <w:top w:val="nil"/>
              <w:left w:val="nil"/>
              <w:bottom w:val="nil"/>
              <w:right w:val="nil"/>
            </w:tcBorders>
          </w:tcPr>
          <w:p>
            <w:pPr>
              <w:pStyle w:val="0"/>
            </w:pPr>
            <w:r>
              <w:rPr>
                <w:sz w:val="20"/>
              </w:rPr>
            </w:r>
          </w:p>
        </w:tc>
        <w:tc>
          <w:tcPr>
            <w:gridSpan w:val="4"/>
            <w:tcW w:w="7740" w:type="dxa"/>
            <w:tcBorders>
              <w:top w:val="single" w:sz="4"/>
              <w:left w:val="nil"/>
              <w:bottom w:val="nil"/>
              <w:right w:val="nil"/>
            </w:tcBorders>
          </w:tcPr>
          <w:p>
            <w:pPr>
              <w:pStyle w:val="0"/>
              <w:jc w:val="center"/>
            </w:pPr>
            <w:r>
              <w:rPr>
                <w:sz w:val="20"/>
              </w:rPr>
              <w:t xml:space="preserve">(должность, фамилия, имя, отчество)</w:t>
            </w:r>
          </w:p>
        </w:tc>
        <w:tc>
          <w:tcPr>
            <w:tcW w:w="396" w:type="dxa"/>
            <w:tcBorders>
              <w:top w:val="nil"/>
              <w:left w:val="nil"/>
              <w:bottom w:val="nil"/>
              <w:right w:val="nil"/>
            </w:tcBorders>
          </w:tcPr>
          <w:p>
            <w:pPr>
              <w:pStyle w:val="0"/>
            </w:pPr>
            <w:r>
              <w:rPr>
                <w:sz w:val="20"/>
              </w:rPr>
            </w:r>
          </w:p>
        </w:tc>
      </w:tr>
      <w:tr>
        <w:tc>
          <w:tcPr>
            <w:gridSpan w:val="2"/>
            <w:tcW w:w="3202" w:type="dxa"/>
            <w:tcBorders>
              <w:top w:val="nil"/>
              <w:left w:val="nil"/>
              <w:bottom w:val="nil"/>
              <w:right w:val="nil"/>
            </w:tcBorders>
          </w:tcPr>
          <w:p>
            <w:pPr>
              <w:pStyle w:val="0"/>
              <w:jc w:val="both"/>
            </w:pPr>
            <w:r>
              <w:rPr>
                <w:sz w:val="20"/>
              </w:rPr>
              <w:t xml:space="preserve">действующего на основании</w:t>
            </w:r>
          </w:p>
        </w:tc>
        <w:tc>
          <w:tcPr>
            <w:gridSpan w:val="3"/>
            <w:tcW w:w="5473" w:type="dxa"/>
            <w:tcBorders>
              <w:top w:val="nil"/>
              <w:left w:val="nil"/>
              <w:bottom w:val="single" w:sz="4"/>
              <w:right w:val="nil"/>
            </w:tcBorders>
          </w:tcPr>
          <w:p>
            <w:pPr>
              <w:pStyle w:val="0"/>
            </w:pPr>
            <w:r>
              <w:rPr>
                <w:sz w:val="20"/>
              </w:rPr>
            </w:r>
          </w:p>
        </w:tc>
        <w:tc>
          <w:tcPr>
            <w:tcW w:w="396" w:type="dxa"/>
            <w:tcBorders>
              <w:top w:val="nil"/>
              <w:left w:val="nil"/>
              <w:bottom w:val="nil"/>
              <w:right w:val="nil"/>
            </w:tcBorders>
          </w:tcPr>
          <w:p>
            <w:pPr>
              <w:pStyle w:val="0"/>
              <w:jc w:val="both"/>
            </w:pPr>
            <w:r>
              <w:rPr>
                <w:sz w:val="20"/>
              </w:rPr>
              <w:t xml:space="preserve">,</w:t>
            </w:r>
          </w:p>
        </w:tc>
      </w:tr>
      <w:tr>
        <w:tc>
          <w:tcPr>
            <w:gridSpan w:val="2"/>
            <w:tcW w:w="3202" w:type="dxa"/>
            <w:tcBorders>
              <w:top w:val="nil"/>
              <w:left w:val="nil"/>
              <w:bottom w:val="nil"/>
              <w:right w:val="nil"/>
            </w:tcBorders>
          </w:tcPr>
          <w:p>
            <w:pPr>
              <w:pStyle w:val="0"/>
            </w:pPr>
            <w:r>
              <w:rPr>
                <w:sz w:val="20"/>
              </w:rPr>
            </w:r>
          </w:p>
        </w:tc>
        <w:tc>
          <w:tcPr>
            <w:gridSpan w:val="3"/>
            <w:tcW w:w="5473" w:type="dxa"/>
            <w:tcBorders>
              <w:top w:val="single" w:sz="4"/>
              <w:left w:val="nil"/>
              <w:bottom w:val="nil"/>
              <w:right w:val="nil"/>
            </w:tcBorders>
          </w:tcPr>
          <w:p>
            <w:pPr>
              <w:pStyle w:val="0"/>
              <w:jc w:val="center"/>
            </w:pPr>
            <w:r>
              <w:rPr>
                <w:sz w:val="20"/>
              </w:rPr>
              <w:t xml:space="preserve">(наименование документа, дата)</w:t>
            </w:r>
          </w:p>
        </w:tc>
        <w:tc>
          <w:tcPr>
            <w:tcW w:w="396"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jc w:val="both"/>
            </w:pPr>
            <w:r>
              <w:rPr>
                <w:sz w:val="20"/>
              </w:rPr>
              <w:t xml:space="preserve">дает согласие на осуществление Министерством внутренней политики области проверок соблюдения порядка и условий предоставления субсидии на финансовое обеспечение затрат по проведению мероприятий, направленных на защиту гражданских, социально-экономических, трудовых, личных прав и свобод представителей старшего поколения россиян, обеспечение их достойного положения в обществе и формирование в обществе уважительного отношения к старшему поколению граждан России, а также проверок органами государственного финансового контроля в соответствии со </w:t>
            </w:r>
            <w:hyperlink w:history="0" r:id="rId3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tc>
      </w:tr>
      <w:tr>
        <w:tc>
          <w:tcPr>
            <w:gridSpan w:val="6"/>
            <w:tcW w:w="9071" w:type="dxa"/>
            <w:tcBorders>
              <w:top w:val="nil"/>
              <w:left w:val="nil"/>
              <w:bottom w:val="nil"/>
              <w:right w:val="nil"/>
            </w:tcBorders>
          </w:tcPr>
          <w:p>
            <w:pPr>
              <w:pStyle w:val="0"/>
            </w:pPr>
            <w:r>
              <w:rPr>
                <w:sz w:val="20"/>
              </w:rPr>
            </w:r>
          </w:p>
        </w:tc>
      </w:tr>
      <w:tr>
        <w:tc>
          <w:tcPr>
            <w:gridSpan w:val="2"/>
            <w:tcW w:w="3202" w:type="dxa"/>
            <w:tcBorders>
              <w:top w:val="nil"/>
              <w:left w:val="nil"/>
              <w:bottom w:val="nil"/>
              <w:right w:val="nil"/>
            </w:tcBorders>
          </w:tcPr>
          <w:p>
            <w:pPr>
              <w:pStyle w:val="0"/>
            </w:pPr>
            <w:r>
              <w:rPr>
                <w:sz w:val="20"/>
              </w:rPr>
              <w:t xml:space="preserve">Руководитель общества (уполномоченное лицо)</w:t>
            </w:r>
          </w:p>
        </w:tc>
        <w:tc>
          <w:tcPr>
            <w:tcW w:w="1668" w:type="dxa"/>
            <w:tcBorders>
              <w:top w:val="nil"/>
              <w:left w:val="nil"/>
              <w:bottom w:val="single" w:sz="4"/>
              <w:right w:val="nil"/>
            </w:tcBorders>
          </w:tcPr>
          <w:p>
            <w:pPr>
              <w:pStyle w:val="0"/>
            </w:pPr>
            <w:r>
              <w:rPr>
                <w:sz w:val="20"/>
              </w:rPr>
            </w:r>
          </w:p>
        </w:tc>
        <w:tc>
          <w:tcPr>
            <w:tcW w:w="372" w:type="dxa"/>
            <w:tcBorders>
              <w:top w:val="nil"/>
              <w:left w:val="nil"/>
              <w:bottom w:val="nil"/>
              <w:right w:val="nil"/>
            </w:tcBorders>
          </w:tcPr>
          <w:p>
            <w:pPr>
              <w:pStyle w:val="0"/>
            </w:pPr>
            <w:r>
              <w:rPr>
                <w:sz w:val="20"/>
              </w:rPr>
            </w:r>
          </w:p>
        </w:tc>
        <w:tc>
          <w:tcPr>
            <w:gridSpan w:val="2"/>
            <w:tcW w:w="3829" w:type="dxa"/>
            <w:tcBorders>
              <w:top w:val="nil"/>
              <w:left w:val="nil"/>
              <w:bottom w:val="single" w:sz="4"/>
              <w:right w:val="nil"/>
            </w:tcBorders>
          </w:tcPr>
          <w:p>
            <w:pPr>
              <w:pStyle w:val="0"/>
            </w:pPr>
            <w:r>
              <w:rPr>
                <w:sz w:val="20"/>
              </w:rPr>
            </w:r>
          </w:p>
        </w:tc>
      </w:tr>
      <w:tr>
        <w:tc>
          <w:tcPr>
            <w:gridSpan w:val="2"/>
            <w:tcW w:w="3202" w:type="dxa"/>
            <w:tcBorders>
              <w:top w:val="nil"/>
              <w:left w:val="nil"/>
              <w:bottom w:val="nil"/>
              <w:right w:val="nil"/>
            </w:tcBorders>
          </w:tcPr>
          <w:p>
            <w:pPr>
              <w:pStyle w:val="0"/>
            </w:pPr>
            <w:r>
              <w:rPr>
                <w:sz w:val="20"/>
              </w:rPr>
            </w:r>
          </w:p>
        </w:tc>
        <w:tc>
          <w:tcPr>
            <w:tcW w:w="1668" w:type="dxa"/>
            <w:tcBorders>
              <w:top w:val="single" w:sz="4"/>
              <w:left w:val="nil"/>
              <w:bottom w:val="nil"/>
              <w:right w:val="nil"/>
            </w:tcBorders>
          </w:tcPr>
          <w:p>
            <w:pPr>
              <w:pStyle w:val="0"/>
              <w:jc w:val="center"/>
            </w:pPr>
            <w:r>
              <w:rPr>
                <w:sz w:val="20"/>
              </w:rPr>
              <w:t xml:space="preserve">(подпись)</w:t>
            </w:r>
          </w:p>
        </w:tc>
        <w:tc>
          <w:tcPr>
            <w:tcW w:w="372" w:type="dxa"/>
            <w:tcBorders>
              <w:top w:val="nil"/>
              <w:left w:val="nil"/>
              <w:bottom w:val="nil"/>
              <w:right w:val="nil"/>
            </w:tcBorders>
          </w:tcPr>
          <w:p>
            <w:pPr>
              <w:pStyle w:val="0"/>
            </w:pPr>
            <w:r>
              <w:rPr>
                <w:sz w:val="20"/>
              </w:rPr>
            </w:r>
          </w:p>
        </w:tc>
        <w:tc>
          <w:tcPr>
            <w:gridSpan w:val="2"/>
            <w:tcW w:w="3829"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Вологодской области от 02.06.2025 N 840</w:t>
            <w:br/>
            <w:t>(ред. от 01.08.2025)</w:t>
            <w:br/>
            <w:t>"Об утверждении Порядка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253946&amp;dst=100005" TargetMode = "External"/><Relationship Id="rId9" Type="http://schemas.openxmlformats.org/officeDocument/2006/relationships/hyperlink" Target="https://login.consultant.ru/link/?req=doc&amp;base=LAW&amp;n=520154&amp;dst=7460" TargetMode = "External"/><Relationship Id="rId10" Type="http://schemas.openxmlformats.org/officeDocument/2006/relationships/hyperlink" Target="https://login.consultant.ru/link/?req=doc&amp;base=LAW&amp;n=490805&amp;dst=100026" TargetMode = "External"/><Relationship Id="rId11" Type="http://schemas.openxmlformats.org/officeDocument/2006/relationships/hyperlink" Target="https://login.consultant.ru/link/?req=doc&amp;base=RLAW095&amp;n=244447&amp;dst=100072" TargetMode = "External"/><Relationship Id="rId12" Type="http://schemas.openxmlformats.org/officeDocument/2006/relationships/hyperlink" Target="https://login.consultant.ru/link/?req=doc&amp;base=RLAW095&amp;n=259134&amp;dst=138794" TargetMode = "External"/><Relationship Id="rId13" Type="http://schemas.openxmlformats.org/officeDocument/2006/relationships/hyperlink" Target="https://login.consultant.ru/link/?req=doc&amp;base=RLAW095&amp;n=253946&amp;dst=100005" TargetMode = "External"/><Relationship Id="rId14" Type="http://schemas.openxmlformats.org/officeDocument/2006/relationships/hyperlink" Target="https://login.consultant.ru/link/?req=doc&amp;base=RLAW095&amp;n=259134&amp;dst=138794" TargetMode = "External"/><Relationship Id="rId15" Type="http://schemas.openxmlformats.org/officeDocument/2006/relationships/hyperlink" Target="https://promote.budget.gov.ru" TargetMode = "External"/><Relationship Id="rId16" Type="http://schemas.openxmlformats.org/officeDocument/2006/relationships/hyperlink" Target="https://vologda-oblast.ru" TargetMode = "External"/><Relationship Id="rId17" Type="http://schemas.openxmlformats.org/officeDocument/2006/relationships/hyperlink" Target="https://promote.budget.gov.ru" TargetMode = "External"/><Relationship Id="rId18" Type="http://schemas.openxmlformats.org/officeDocument/2006/relationships/hyperlink" Target="https://login.consultant.ru/link/?req=doc&amp;base=LAW&amp;n=420230&amp;dst=100010" TargetMode = "External"/><Relationship Id="rId19" Type="http://schemas.openxmlformats.org/officeDocument/2006/relationships/hyperlink" Target="https://login.consultant.ru/link/?req=doc&amp;base=LAW&amp;n=121087&amp;dst=100142" TargetMode = "External"/><Relationship Id="rId20" Type="http://schemas.openxmlformats.org/officeDocument/2006/relationships/hyperlink" Target="https://login.consultant.ru/link/?req=doc&amp;base=LAW&amp;n=503698&amp;dst=100008" TargetMode = "External"/><Relationship Id="rId21" Type="http://schemas.openxmlformats.org/officeDocument/2006/relationships/hyperlink" Target="https://login.consultant.ru/link/?req=doc&amp;base=LAW&amp;n=520119&amp;dst=5769"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 Id="rId24" Type="http://schemas.openxmlformats.org/officeDocument/2006/relationships/hyperlink" Target="https://login.consultant.ru/link/?req=doc&amp;base=RLAW095&amp;n=253946&amp;dst=100007" TargetMode = "External"/><Relationship Id="rId25" Type="http://schemas.openxmlformats.org/officeDocument/2006/relationships/hyperlink" Target="https://login.consultant.ru/link/?req=doc&amp;base=RLAW095&amp;n=253946&amp;dst=100008" TargetMode = "External"/><Relationship Id="rId26" Type="http://schemas.openxmlformats.org/officeDocument/2006/relationships/hyperlink" Target="https://login.consultant.ru/link/?req=doc&amp;base=RLAW095&amp;n=253946&amp;dst=100010" TargetMode = "External"/><Relationship Id="rId27" Type="http://schemas.openxmlformats.org/officeDocument/2006/relationships/hyperlink" Target="https://login.consultant.ru/link/?req=doc&amp;base=RLAW095&amp;n=253946&amp;dst=100011" TargetMode = "External"/><Relationship Id="rId28" Type="http://schemas.openxmlformats.org/officeDocument/2006/relationships/hyperlink" Target="https://login.consultant.ru/link/?req=doc&amp;base=LAW&amp;n=520154&amp;dst=3704" TargetMode = "External"/><Relationship Id="rId29" Type="http://schemas.openxmlformats.org/officeDocument/2006/relationships/hyperlink" Target="https://login.consultant.ru/link/?req=doc&amp;base=LAW&amp;n=520154&amp;dst=3722" TargetMode = "External"/><Relationship Id="rId30" Type="http://schemas.openxmlformats.org/officeDocument/2006/relationships/hyperlink" Target="https://login.consultant.ru/link/?req=doc&amp;base=RLAW095&amp;n=253946&amp;dst=100012" TargetMode = "External"/><Relationship Id="rId31" Type="http://schemas.openxmlformats.org/officeDocument/2006/relationships/hyperlink" Target="https://login.consultant.ru/link/?req=doc&amp;base=LAW&amp;n=520154&amp;dst=3704" TargetMode = "External"/><Relationship Id="rId32"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Вологодской области от 02.06.2025 N 840
(ред. от 01.08.2025)
"Об утверждении Порядка предоставления субсидии общественным объединениям на обеспечение реализации мероприятий с участием граждан старшего поколения в 2025 году"</dc:title>
  <dcterms:created xsi:type="dcterms:W3CDTF">2026-01-02T13:41:26Z</dcterms:created>
</cp:coreProperties>
</file>