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Главного управления конкурентной политики Вологодской области от 26.12.2024 N 158</w:t>
              <w:br/>
              <w:t xml:space="preserve">(ред. от 01.10.2025)</w:t>
              <w:br/>
              <w:t xml:space="preserve">"Об утверждении Положения об общественном совете при Главном управлении конкурентной политики области"</w:t>
              <w:br/>
              <w:t xml:space="preserve">(вместе с "Методикой проведения мероприятий по отбору кандидатов в члены общественного совета при Главном управлении конкурентной политики области (далее - Методика)")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ГЛАВНОЕ УПРАВЛЕНИЕ КОНКУРЕНТНОЙ ПОЛИТИКИ ВОЛОГОДСКОЙ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26 декабря 2024 г. N 158</w:t>
      </w:r>
    </w:p>
    <w:p>
      <w:pPr>
        <w:pStyle w:val="2"/>
        <w:jc w:val="center"/>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ГЛАВНОМ УПРАВЛЕНИИ КОНКУРЕНТНОЙ ПОЛИТИКИ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Главного управления</w:t>
            </w:r>
          </w:p>
          <w:p>
            <w:pPr>
              <w:pStyle w:val="0"/>
              <w:jc w:val="center"/>
            </w:pPr>
            <w:r>
              <w:rPr>
                <w:sz w:val="20"/>
                <w:color w:val="392c69"/>
              </w:rPr>
              <w:t xml:space="preserve">конкурентной политики Вологодской области</w:t>
            </w:r>
          </w:p>
          <w:p>
            <w:pPr>
              <w:pStyle w:val="0"/>
              <w:jc w:val="center"/>
            </w:pPr>
            <w:r>
              <w:rPr>
                <w:sz w:val="20"/>
                <w:color w:val="392c69"/>
              </w:rPr>
              <w:t xml:space="preserve">от 21.05.2025 </w:t>
            </w:r>
            <w:hyperlink w:history="0" r:id="rId8" w:tooltip="Приказ Главного управления конкурентной политики Вологодской области от 21.05.2025 N 60 &quot;О внесении изменений в приказ Главного управления конкурентной политики области от 26 декабря 2024 года N 158&quot; {КонсультантПлюс}">
              <w:r>
                <w:rPr>
                  <w:sz w:val="20"/>
                  <w:color w:val="0000ff"/>
                </w:rPr>
                <w:t xml:space="preserve">N 60</w:t>
              </w:r>
            </w:hyperlink>
            <w:r>
              <w:rPr>
                <w:sz w:val="20"/>
                <w:color w:val="392c69"/>
              </w:rPr>
              <w:t xml:space="preserve">, от 01.10.2025 </w:t>
            </w:r>
            <w:hyperlink w:history="0" r:id="rId9" w:tooltip="Приказ Главного управления конкурентной политики Вологодской области от 01.10.2025 N 118 &quot;О внесении изменения в приказ Главного управления конкурентной политики области от 26 декабря 2024 года N 158&quot; {КонсультантПлюс}">
              <w:r>
                <w:rPr>
                  <w:sz w:val="20"/>
                  <w:color w:val="0000ff"/>
                </w:rPr>
                <w:t xml:space="preserve">N 118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реализации постановлений Губернатора области от 24 декабря 2012 года </w:t>
      </w:r>
      <w:hyperlink w:history="0" r:id="rId10" w:tooltip="Постановление Губернатора Вологодской области от 24.12.2012 N 686 (ред. от 17.06.2021) &quot;О порядке образования и отдельных вопросах деятельности общественных советов при органах исполнительной государственной власти области&quot; {КонсультантПлюс}">
        <w:r>
          <w:rPr>
            <w:sz w:val="20"/>
            <w:color w:val="0000ff"/>
          </w:rPr>
          <w:t xml:space="preserve">N 686</w:t>
        </w:r>
      </w:hyperlink>
      <w:r>
        <w:rPr>
          <w:sz w:val="20"/>
        </w:rPr>
        <w:t xml:space="preserve"> "О порядке образования общественных советов при органах исполнительной государственной власти области", от 1 ноября 2024 года </w:t>
      </w:r>
      <w:hyperlink w:history="0" r:id="rId11" w:tooltip="Постановление Губернатора Вологодской области от 01.11.2024 N 328 (ред. от 18.04.2025) &quot;О переименовании и изменении в структуре исполнительных органов области&quot; ------------ Недействующая редакция {КонсультантПлюс}">
        <w:r>
          <w:rPr>
            <w:sz w:val="20"/>
            <w:color w:val="0000ff"/>
          </w:rPr>
          <w:t xml:space="preserve">N 328</w:t>
        </w:r>
      </w:hyperlink>
      <w:r>
        <w:rPr>
          <w:sz w:val="20"/>
        </w:rPr>
        <w:t xml:space="preserve"> "О переименовании и изменении в структуре исполнительных органов области" приказываю:</w:t>
      </w:r>
    </w:p>
    <w:p>
      <w:pPr>
        <w:pStyle w:val="0"/>
        <w:spacing w:before="200" w:lineRule="auto"/>
        <w:ind w:firstLine="540"/>
        <w:jc w:val="both"/>
      </w:pPr>
      <w:r>
        <w:rPr>
          <w:sz w:val="20"/>
        </w:rPr>
        <w:t xml:space="preserve">1. Переименовать общественный совет при Комитете по регулированию контрактной системы области в общественный совет при Главном управлении конкурентной политики области.</w:t>
      </w:r>
    </w:p>
    <w:p>
      <w:pPr>
        <w:pStyle w:val="0"/>
        <w:spacing w:before="200" w:lineRule="auto"/>
        <w:ind w:firstLine="540"/>
        <w:jc w:val="both"/>
      </w:pPr>
      <w:r>
        <w:rPr>
          <w:sz w:val="20"/>
        </w:rPr>
        <w:t xml:space="preserve">2. Утвердить </w:t>
      </w:r>
      <w:hyperlink w:history="0" w:anchor="P38" w:tooltip="ПОЛОЖЕНИЕ">
        <w:r>
          <w:rPr>
            <w:sz w:val="20"/>
            <w:color w:val="0000ff"/>
          </w:rPr>
          <w:t xml:space="preserve">Положение</w:t>
        </w:r>
      </w:hyperlink>
      <w:r>
        <w:rPr>
          <w:sz w:val="20"/>
        </w:rPr>
        <w:t xml:space="preserve"> об общественном совете при Главном управлении конкурентной политики области (приложение 1).</w:t>
      </w:r>
    </w:p>
    <w:p>
      <w:pPr>
        <w:pStyle w:val="0"/>
        <w:spacing w:before="200" w:lineRule="auto"/>
        <w:ind w:firstLine="540"/>
        <w:jc w:val="both"/>
      </w:pPr>
      <w:r>
        <w:rPr>
          <w:sz w:val="20"/>
        </w:rPr>
        <w:t xml:space="preserve">3. Утвердить </w:t>
      </w:r>
      <w:hyperlink w:history="0" w:anchor="P182" w:tooltip="МЕТОДИКА">
        <w:r>
          <w:rPr>
            <w:sz w:val="20"/>
            <w:color w:val="0000ff"/>
          </w:rPr>
          <w:t xml:space="preserve">методику</w:t>
        </w:r>
      </w:hyperlink>
      <w:r>
        <w:rPr>
          <w:sz w:val="20"/>
        </w:rPr>
        <w:t xml:space="preserve"> проведения мероприятий по отбору кандидатов в члены общественного совета при Главном управлении конкурентной политики области (приложение 2).</w:t>
      </w:r>
    </w:p>
    <w:p>
      <w:pPr>
        <w:pStyle w:val="0"/>
        <w:spacing w:before="200" w:lineRule="auto"/>
        <w:ind w:firstLine="540"/>
        <w:jc w:val="both"/>
      </w:pPr>
      <w:r>
        <w:rPr>
          <w:sz w:val="20"/>
        </w:rPr>
        <w:t xml:space="preserve">4. Управлению стратегического развития осуществлять организационно-техническое обеспечение деятельности общественного совета при Главном управлении конкурентной политики области.</w:t>
      </w:r>
    </w:p>
    <w:p>
      <w:pPr>
        <w:pStyle w:val="0"/>
        <w:spacing w:before="200" w:lineRule="auto"/>
        <w:ind w:firstLine="540"/>
        <w:jc w:val="both"/>
      </w:pPr>
      <w:r>
        <w:rPr>
          <w:sz w:val="20"/>
        </w:rPr>
        <w:t xml:space="preserve">5. Признать утратившими силу приказы Комитета по регулированию контрактной системы Вологодской области:</w:t>
      </w:r>
    </w:p>
    <w:p>
      <w:pPr>
        <w:pStyle w:val="0"/>
        <w:spacing w:before="200" w:lineRule="auto"/>
        <w:ind w:firstLine="540"/>
        <w:jc w:val="both"/>
      </w:pPr>
      <w:r>
        <w:rPr>
          <w:sz w:val="20"/>
        </w:rPr>
        <w:t xml:space="preserve">от 2 февраля 2021 года </w:t>
      </w:r>
      <w:hyperlink w:history="0" r:id="rId12" w:tooltip="Приказ Комитета по регулированию контрактной системы Вологодской области от 02.02.2021 N 17 (ред. от 06.04.2022) &quot;Об утверждении Положения об общественном совете при Комитете по регулированию контрактной системы области&quot; (вместе с &quot;Методикой проведения мероприятий по отбору кандидатов в члены общественного совета при Комитете по регулированию контрактной системы области (далее - Методика)&quot;) ------------ Утратил силу или отменен {КонсультантПлюс}">
        <w:r>
          <w:rPr>
            <w:sz w:val="20"/>
            <w:color w:val="0000ff"/>
          </w:rPr>
          <w:t xml:space="preserve">N 17</w:t>
        </w:r>
      </w:hyperlink>
      <w:r>
        <w:rPr>
          <w:sz w:val="20"/>
        </w:rPr>
        <w:t xml:space="preserve"> "Об утверждении Положения об общественном совете при Комитете по регулированию контрактной системы области";</w:t>
      </w:r>
    </w:p>
    <w:p>
      <w:pPr>
        <w:pStyle w:val="0"/>
        <w:spacing w:before="200" w:lineRule="auto"/>
        <w:ind w:firstLine="540"/>
        <w:jc w:val="both"/>
      </w:pPr>
      <w:r>
        <w:rPr>
          <w:sz w:val="20"/>
        </w:rPr>
        <w:t xml:space="preserve">от 6 апреля 2022 года </w:t>
      </w:r>
      <w:hyperlink w:history="0" r:id="rId13" w:tooltip="Приказ Комитета по регулированию контрактной системы Вологодской области от 06.04.2022 N 28 &quot;О внесении изменения в приказ Комитета по регулированию контрактной системы области от 2 февраля 2021 года N 17&quot; ------------ Утратил силу или отменен {КонсультантПлюс}">
        <w:r>
          <w:rPr>
            <w:sz w:val="20"/>
            <w:color w:val="0000ff"/>
          </w:rPr>
          <w:t xml:space="preserve">N 28</w:t>
        </w:r>
      </w:hyperlink>
      <w:r>
        <w:rPr>
          <w:sz w:val="20"/>
        </w:rPr>
        <w:t xml:space="preserve"> "О внесении изменения в приказ Комитета по регулированию контрактной системы области от 2 февраля 2021 года N 17".</w:t>
      </w:r>
    </w:p>
    <w:p>
      <w:pPr>
        <w:pStyle w:val="0"/>
        <w:jc w:val="both"/>
      </w:pPr>
      <w:r>
        <w:rPr>
          <w:sz w:val="20"/>
        </w:rPr>
        <w:t xml:space="preserve">(п. 5 в ред. </w:t>
      </w:r>
      <w:hyperlink w:history="0" r:id="rId14" w:tooltip="Приказ Главного управления конкурентной политики Вологодской области от 01.10.2025 N 118 &quot;О внесении изменения в приказ Главного управления конкурентной политики области от 26 декабря 2024 года N 158&quot; {КонсультантПлюс}">
        <w:r>
          <w:rPr>
            <w:sz w:val="20"/>
            <w:color w:val="0000ff"/>
          </w:rPr>
          <w:t xml:space="preserve">приказа</w:t>
        </w:r>
      </w:hyperlink>
      <w:r>
        <w:rPr>
          <w:sz w:val="20"/>
        </w:rPr>
        <w:t xml:space="preserve"> Главного управления конкурентной политики Вологодской области от 01.10.2025 N 118)</w:t>
      </w:r>
    </w:p>
    <w:p>
      <w:pPr>
        <w:pStyle w:val="0"/>
        <w:spacing w:before="200" w:lineRule="auto"/>
        <w:ind w:firstLine="540"/>
        <w:jc w:val="both"/>
      </w:pPr>
      <w:r>
        <w:rPr>
          <w:sz w:val="20"/>
        </w:rPr>
        <w:t xml:space="preserve">6. Приказ вступает в силу со дня его официального опубликования.</w:t>
      </w:r>
    </w:p>
    <w:p>
      <w:pPr>
        <w:pStyle w:val="0"/>
        <w:jc w:val="both"/>
      </w:pPr>
      <w:r>
        <w:rPr>
          <w:sz w:val="20"/>
        </w:rPr>
      </w:r>
    </w:p>
    <w:p>
      <w:pPr>
        <w:pStyle w:val="0"/>
        <w:jc w:val="right"/>
      </w:pPr>
      <w:r>
        <w:rPr>
          <w:sz w:val="20"/>
        </w:rPr>
        <w:t xml:space="preserve">Начальник Главного управления</w:t>
      </w:r>
    </w:p>
    <w:p>
      <w:pPr>
        <w:pStyle w:val="0"/>
        <w:jc w:val="right"/>
      </w:pPr>
      <w:r>
        <w:rPr>
          <w:sz w:val="20"/>
        </w:rPr>
        <w:t xml:space="preserve">А.В.ГУДИНА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Главного управления конкурентной</w:t>
      </w:r>
    </w:p>
    <w:p>
      <w:pPr>
        <w:pStyle w:val="0"/>
        <w:jc w:val="right"/>
      </w:pPr>
      <w:r>
        <w:rPr>
          <w:sz w:val="20"/>
        </w:rPr>
        <w:t xml:space="preserve">политики области</w:t>
      </w:r>
    </w:p>
    <w:p>
      <w:pPr>
        <w:pStyle w:val="0"/>
        <w:jc w:val="right"/>
      </w:pPr>
      <w:r>
        <w:rPr>
          <w:sz w:val="20"/>
        </w:rPr>
        <w:t xml:space="preserve">от 26 декабря 2024 г. N 158</w:t>
      </w:r>
    </w:p>
    <w:p>
      <w:pPr>
        <w:pStyle w:val="0"/>
        <w:jc w:val="right"/>
      </w:pPr>
      <w:r>
        <w:rPr>
          <w:sz w:val="20"/>
        </w:rPr>
        <w:t xml:space="preserve">(приложение 1)</w:t>
      </w:r>
    </w:p>
    <w:p>
      <w:pPr>
        <w:pStyle w:val="0"/>
        <w:jc w:val="both"/>
      </w:pPr>
      <w:r>
        <w:rPr>
          <w:sz w:val="20"/>
        </w:rPr>
      </w:r>
    </w:p>
    <w:bookmarkStart w:id="38" w:name="P38"/>
    <w:bookmarkEnd w:id="38"/>
    <w:p>
      <w:pPr>
        <w:pStyle w:val="2"/>
        <w:jc w:val="center"/>
      </w:pPr>
      <w:r>
        <w:rPr>
          <w:sz w:val="20"/>
        </w:rPr>
        <w:t xml:space="preserve">ПОЛОЖЕНИЕ</w:t>
      </w:r>
    </w:p>
    <w:p>
      <w:pPr>
        <w:pStyle w:val="2"/>
        <w:jc w:val="center"/>
      </w:pPr>
      <w:r>
        <w:rPr>
          <w:sz w:val="20"/>
        </w:rPr>
        <w:t xml:space="preserve">ОБ ОБЩЕСТВЕННОМ СОВЕТЕ</w:t>
      </w:r>
    </w:p>
    <w:p>
      <w:pPr>
        <w:pStyle w:val="2"/>
        <w:jc w:val="center"/>
      </w:pPr>
      <w:r>
        <w:rPr>
          <w:sz w:val="20"/>
        </w:rPr>
        <w:t xml:space="preserve">ПРИ ГЛАВНОМ УПРАВЛЕНИИ КОНКУРЕНТНОЙ ПОЛИТИКИ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5" w:tooltip="Приказ Главного управления конкурентной политики Вологодской области от 21.05.2025 N 60 &quot;О внесении изменений в приказ Главного управления конкурентной политики области от 26 декабря 2024 года N 158&quot; {КонсультантПлюс}">
              <w:r>
                <w:rPr>
                  <w:sz w:val="20"/>
                  <w:color w:val="0000ff"/>
                </w:rPr>
                <w:t xml:space="preserve">приказа</w:t>
              </w:r>
            </w:hyperlink>
            <w:r>
              <w:rPr>
                <w:sz w:val="20"/>
                <w:color w:val="392c69"/>
              </w:rPr>
              <w:t xml:space="preserve"> Главного управления</w:t>
            </w:r>
          </w:p>
          <w:p>
            <w:pPr>
              <w:pStyle w:val="0"/>
              <w:jc w:val="center"/>
            </w:pPr>
            <w:r>
              <w:rPr>
                <w:sz w:val="20"/>
                <w:color w:val="392c69"/>
              </w:rPr>
              <w:t xml:space="preserve">конкурентной политики Вологодской области</w:t>
            </w:r>
          </w:p>
          <w:p>
            <w:pPr>
              <w:pStyle w:val="0"/>
              <w:jc w:val="center"/>
            </w:pPr>
            <w:r>
              <w:rPr>
                <w:sz w:val="20"/>
                <w:color w:val="392c69"/>
              </w:rPr>
              <w:t xml:space="preserve">от 21.05.2025 N 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Общественный совет при Главном управлении конкурентной политики области (далее - Общественный совет) является совещательным органом и образуется в целях согласования интересов населения области, общественных объединений, правозащитных, религиозных и иных организаций, профессиональных объединений (далее - общественные объединения и иные организации) при выработке и реализации решений по наиболее важным вопросам в сфере деятельности Главного управления конкурентной политики области (далее - Главное управление).</w:t>
      </w:r>
    </w:p>
    <w:p>
      <w:pPr>
        <w:pStyle w:val="0"/>
        <w:spacing w:before="200" w:lineRule="auto"/>
        <w:ind w:firstLine="540"/>
        <w:jc w:val="both"/>
      </w:pPr>
      <w:r>
        <w:rPr>
          <w:sz w:val="20"/>
        </w:rPr>
        <w:t xml:space="preserve">1.2. В своей деятельности Общественный совет руководствуется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иными нормативными правовыми актами Российской Федерации, нормативными правовыми актами Вологодской области, а также настоящим Положением.</w:t>
      </w:r>
    </w:p>
    <w:p>
      <w:pPr>
        <w:pStyle w:val="0"/>
        <w:spacing w:before="200" w:lineRule="auto"/>
        <w:ind w:firstLine="540"/>
        <w:jc w:val="both"/>
      </w:pPr>
      <w:r>
        <w:rPr>
          <w:sz w:val="20"/>
        </w:rPr>
        <w:t xml:space="preserve">1.3. Общественный совет при осуществлении возложенных на него функций взаимодействует с государственными органами области, территориальными органами федеральных органов государственной власти, органами местного самоуправления муниципальных образований области, общественными советами при исполнительных органах области, общественными объединениями и иными организациями, гражданами.</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Члены Общественного совета исполняют свои обязанности на общественных началах.</w:t>
      </w:r>
    </w:p>
    <w:p>
      <w:pPr>
        <w:pStyle w:val="0"/>
        <w:jc w:val="both"/>
      </w:pPr>
      <w:r>
        <w:rPr>
          <w:sz w:val="20"/>
        </w:rPr>
      </w:r>
    </w:p>
    <w:p>
      <w:pPr>
        <w:pStyle w:val="2"/>
        <w:outlineLvl w:val="1"/>
        <w:jc w:val="center"/>
      </w:pPr>
      <w:r>
        <w:rPr>
          <w:sz w:val="20"/>
        </w:rPr>
        <w:t xml:space="preserve">2. Основные задачи Общественного совета</w:t>
      </w:r>
    </w:p>
    <w:p>
      <w:pPr>
        <w:pStyle w:val="0"/>
        <w:jc w:val="center"/>
      </w:pPr>
      <w:r>
        <w:rPr>
          <w:sz w:val="20"/>
        </w:rPr>
      </w:r>
    </w:p>
    <w:p>
      <w:pPr>
        <w:pStyle w:val="0"/>
        <w:jc w:val="center"/>
      </w:pPr>
      <w:r>
        <w:rPr>
          <w:sz w:val="20"/>
        </w:rPr>
        <w:t xml:space="preserve">(в ред. </w:t>
      </w:r>
      <w:hyperlink w:history="0" r:id="rId17" w:tooltip="Приказ Главного управления конкурентной политики Вологодской области от 21.05.2025 N 60 &quot;О внесении изменений в приказ Главного управления конкурентной политики области от 26 декабря 2024 года N 158&quot; {КонсультантПлюс}">
        <w:r>
          <w:rPr>
            <w:sz w:val="20"/>
            <w:color w:val="0000ff"/>
          </w:rPr>
          <w:t xml:space="preserve">приказа</w:t>
        </w:r>
      </w:hyperlink>
      <w:r>
        <w:rPr>
          <w:sz w:val="20"/>
        </w:rPr>
        <w:t xml:space="preserve"> Главного управления</w:t>
      </w:r>
    </w:p>
    <w:p>
      <w:pPr>
        <w:pStyle w:val="0"/>
        <w:jc w:val="center"/>
      </w:pPr>
      <w:r>
        <w:rPr>
          <w:sz w:val="20"/>
        </w:rPr>
        <w:t xml:space="preserve">конкурентной политики Вологодской области</w:t>
      </w:r>
    </w:p>
    <w:p>
      <w:pPr>
        <w:pStyle w:val="0"/>
        <w:jc w:val="center"/>
      </w:pPr>
      <w:r>
        <w:rPr>
          <w:sz w:val="20"/>
        </w:rPr>
        <w:t xml:space="preserve">от 21.05.2025 N 60)</w:t>
      </w:r>
    </w:p>
    <w:p>
      <w:pPr>
        <w:pStyle w:val="0"/>
        <w:jc w:val="both"/>
      </w:pPr>
      <w:r>
        <w:rPr>
          <w:sz w:val="20"/>
        </w:rPr>
      </w:r>
    </w:p>
    <w:p>
      <w:pPr>
        <w:pStyle w:val="0"/>
        <w:ind w:firstLine="540"/>
        <w:jc w:val="both"/>
      </w:pPr>
      <w:r>
        <w:rPr>
          <w:sz w:val="20"/>
        </w:rPr>
        <w:t xml:space="preserve">Основными задачами Общественного совета являются:</w:t>
      </w:r>
    </w:p>
    <w:p>
      <w:pPr>
        <w:pStyle w:val="0"/>
        <w:spacing w:before="200" w:lineRule="auto"/>
        <w:ind w:firstLine="540"/>
        <w:jc w:val="both"/>
      </w:pPr>
      <w:r>
        <w:rPr>
          <w:sz w:val="20"/>
        </w:rPr>
        <w:t xml:space="preserve">участие в разработке и рассмотрении концепций, программ, рассмотрении инициатив граждан, иностранных граждан и лиц без гражданства, общественных объединений и иных организаций по вопросам деятельности Главного управления;</w:t>
      </w:r>
    </w:p>
    <w:p>
      <w:pPr>
        <w:pStyle w:val="0"/>
        <w:spacing w:before="200" w:lineRule="auto"/>
        <w:ind w:firstLine="540"/>
        <w:jc w:val="both"/>
      </w:pPr>
      <w:r>
        <w:rPr>
          <w:sz w:val="20"/>
        </w:rPr>
        <w:t xml:space="preserve">участие в рассмотрении годового отчета о ходе реализации государственной программы, исполнителем которой является Главное управление;</w:t>
      </w:r>
    </w:p>
    <w:p>
      <w:pPr>
        <w:pStyle w:val="0"/>
        <w:spacing w:before="200" w:lineRule="auto"/>
        <w:ind w:firstLine="540"/>
        <w:jc w:val="both"/>
      </w:pPr>
      <w:r>
        <w:rPr>
          <w:sz w:val="20"/>
        </w:rPr>
        <w:t xml:space="preserve">участие в общественной оценке деятельности Главного управления;</w:t>
      </w:r>
    </w:p>
    <w:p>
      <w:pPr>
        <w:pStyle w:val="0"/>
        <w:spacing w:before="200" w:lineRule="auto"/>
        <w:ind w:firstLine="540"/>
        <w:jc w:val="both"/>
      </w:pPr>
      <w:r>
        <w:rPr>
          <w:sz w:val="20"/>
        </w:rPr>
        <w:t xml:space="preserve">оценка эффективности организации и функционирования в Главном управлении системы внутреннего обеспечения соответствия требованиям антимонопольного законодательства (далее - антимонопольный комплаенс);</w:t>
      </w:r>
    </w:p>
    <w:p>
      <w:pPr>
        <w:pStyle w:val="0"/>
        <w:spacing w:before="200" w:lineRule="auto"/>
        <w:ind w:firstLine="540"/>
        <w:jc w:val="both"/>
      </w:pPr>
      <w:r>
        <w:rPr>
          <w:sz w:val="20"/>
        </w:rPr>
        <w:t xml:space="preserve">участие в рассмотрении годового отчета об исполнении плана мероприятий по противодействию коррупции в Главном управлении;</w:t>
      </w:r>
    </w:p>
    <w:p>
      <w:pPr>
        <w:pStyle w:val="0"/>
        <w:spacing w:before="200" w:lineRule="auto"/>
        <w:ind w:firstLine="540"/>
        <w:jc w:val="both"/>
      </w:pPr>
      <w:r>
        <w:rPr>
          <w:sz w:val="20"/>
        </w:rPr>
        <w:t xml:space="preserve">подготовка рекомендаций и предложений по совершенствованию деятельности Главного управления, взаимодействия Главного управления с населением области, государственными органами, органами местного самоуправления, общественными советами при исполнительных органах области, общественными объединениями и иными организациями;</w:t>
      </w:r>
    </w:p>
    <w:p>
      <w:pPr>
        <w:pStyle w:val="0"/>
        <w:spacing w:before="200" w:lineRule="auto"/>
        <w:ind w:firstLine="540"/>
        <w:jc w:val="both"/>
      </w:pPr>
      <w:r>
        <w:rPr>
          <w:sz w:val="20"/>
        </w:rPr>
        <w:t xml:space="preserve">совершенствование законодательства в сфере деятельности Главного управления;</w:t>
      </w:r>
    </w:p>
    <w:p>
      <w:pPr>
        <w:pStyle w:val="0"/>
        <w:spacing w:before="200" w:lineRule="auto"/>
        <w:ind w:firstLine="540"/>
        <w:jc w:val="both"/>
      </w:pPr>
      <w:r>
        <w:rPr>
          <w:sz w:val="20"/>
        </w:rPr>
        <w:t xml:space="preserve">информирование общественности по основным направлениям деятельности Главного управления;</w:t>
      </w:r>
    </w:p>
    <w:p>
      <w:pPr>
        <w:pStyle w:val="0"/>
        <w:spacing w:before="200" w:lineRule="auto"/>
        <w:ind w:firstLine="540"/>
        <w:jc w:val="both"/>
      </w:pPr>
      <w:r>
        <w:rPr>
          <w:sz w:val="20"/>
        </w:rPr>
        <w:t xml:space="preserve">участие в предварительном общественном обсуждении нормативных правовых актов и иных документов, разрабатываемых Главным управлением, которые не могут быть приняты без предварительного общественного обсуждения на заседаниях общественных советов.</w:t>
      </w:r>
    </w:p>
    <w:p>
      <w:pPr>
        <w:pStyle w:val="0"/>
        <w:jc w:val="both"/>
      </w:pPr>
      <w:r>
        <w:rPr>
          <w:sz w:val="20"/>
        </w:rPr>
      </w:r>
    </w:p>
    <w:p>
      <w:pPr>
        <w:pStyle w:val="2"/>
        <w:outlineLvl w:val="1"/>
        <w:jc w:val="center"/>
      </w:pPr>
      <w:r>
        <w:rPr>
          <w:sz w:val="20"/>
        </w:rPr>
        <w:t xml:space="preserve">3. Полномочия Общественного совета</w:t>
      </w:r>
    </w:p>
    <w:p>
      <w:pPr>
        <w:pStyle w:val="0"/>
        <w:jc w:val="both"/>
      </w:pPr>
      <w:r>
        <w:rPr>
          <w:sz w:val="20"/>
        </w:rPr>
      </w:r>
    </w:p>
    <w:p>
      <w:pPr>
        <w:pStyle w:val="0"/>
        <w:ind w:firstLine="540"/>
        <w:jc w:val="both"/>
      </w:pPr>
      <w:r>
        <w:rPr>
          <w:sz w:val="20"/>
        </w:rPr>
        <w:t xml:space="preserve">3.1. Для решения возложенных задач Общественный совет осуществляет следующие полномочия:</w:t>
      </w:r>
    </w:p>
    <w:p>
      <w:pPr>
        <w:pStyle w:val="0"/>
        <w:spacing w:before="200" w:lineRule="auto"/>
        <w:ind w:firstLine="540"/>
        <w:jc w:val="both"/>
      </w:pPr>
      <w:r>
        <w:rPr>
          <w:sz w:val="20"/>
        </w:rPr>
        <w:t xml:space="preserve">создает рабочие группы для подготовки материалов на заседания Общественного совета;</w:t>
      </w:r>
    </w:p>
    <w:p>
      <w:pPr>
        <w:pStyle w:val="0"/>
        <w:spacing w:before="200" w:lineRule="auto"/>
        <w:ind w:firstLine="540"/>
        <w:jc w:val="both"/>
      </w:pPr>
      <w:r>
        <w:rPr>
          <w:sz w:val="20"/>
        </w:rPr>
        <w:t xml:space="preserve">запрашивает у органов государственной власти области, органов местного самоуправления, организаций и учреждений, иных институтов гражданского общества материалы и документы, необходимые для деятельности Общественного совета;</w:t>
      </w:r>
    </w:p>
    <w:p>
      <w:pPr>
        <w:pStyle w:val="0"/>
        <w:spacing w:before="200" w:lineRule="auto"/>
        <w:ind w:firstLine="540"/>
        <w:jc w:val="both"/>
      </w:pPr>
      <w:r>
        <w:rPr>
          <w:sz w:val="20"/>
        </w:rPr>
        <w:t xml:space="preserve">приглашает на свои заседания представителей органов государственной власти области, органов местного самоуправления, представителей институтов гражданского общества и иных лиц, участие которых необходимо при обсуждении вопросов, вынесенных на заседание Общественного совета;</w:t>
      </w:r>
    </w:p>
    <w:p>
      <w:pPr>
        <w:pStyle w:val="0"/>
        <w:spacing w:before="200" w:lineRule="auto"/>
        <w:ind w:firstLine="540"/>
        <w:jc w:val="both"/>
      </w:pPr>
      <w:r>
        <w:rPr>
          <w:sz w:val="20"/>
        </w:rPr>
        <w:t xml:space="preserve">привлекает для осуществления своих полномочий специалистов и экспертов, обладающих знаниями и навыками в определенных отраслях;</w:t>
      </w:r>
    </w:p>
    <w:p>
      <w:pPr>
        <w:pStyle w:val="0"/>
        <w:spacing w:before="200" w:lineRule="auto"/>
        <w:ind w:firstLine="540"/>
        <w:jc w:val="both"/>
      </w:pPr>
      <w:r>
        <w:rPr>
          <w:sz w:val="20"/>
        </w:rPr>
        <w:t xml:space="preserve">направляет своих представителей для участия в совещаниях, конференциях и семинарах, проводимых органами государственной власти области, органами местного самоуправления, институтами гражданского общества по вопросам, относящимся к полномочиям Общественного совета;</w:t>
      </w:r>
    </w:p>
    <w:p>
      <w:pPr>
        <w:pStyle w:val="0"/>
        <w:spacing w:before="200" w:lineRule="auto"/>
        <w:ind w:firstLine="540"/>
        <w:jc w:val="both"/>
      </w:pPr>
      <w:r>
        <w:rPr>
          <w:sz w:val="20"/>
        </w:rPr>
        <w:t xml:space="preserve">разрабатывает предложения по организации взаимодействия Главного управления с гражданами Российской Федерации и находящимися на территории области иностранными гражданами и лицами без гражданства, а также институтами гражданского общества;</w:t>
      </w:r>
    </w:p>
    <w:p>
      <w:pPr>
        <w:pStyle w:val="0"/>
        <w:spacing w:before="200" w:lineRule="auto"/>
        <w:ind w:firstLine="540"/>
        <w:jc w:val="both"/>
      </w:pPr>
      <w:r>
        <w:rPr>
          <w:sz w:val="20"/>
        </w:rPr>
        <w:t xml:space="preserve">проводит общественное обсуждение с использованием различных форм публичных консультаций общественно важных вопросов деятельности Главного управления;</w:t>
      </w:r>
    </w:p>
    <w:p>
      <w:pPr>
        <w:pStyle w:val="0"/>
        <w:spacing w:before="200" w:lineRule="auto"/>
        <w:ind w:firstLine="540"/>
        <w:jc w:val="both"/>
      </w:pPr>
      <w:r>
        <w:rPr>
          <w:sz w:val="20"/>
        </w:rPr>
        <w:t xml:space="preserve">направляет начальнику Главного управления предложения и рекомендации по совершенствованию организации деятельности Главного управления;</w:t>
      </w:r>
    </w:p>
    <w:p>
      <w:pPr>
        <w:pStyle w:val="0"/>
        <w:spacing w:before="200" w:lineRule="auto"/>
        <w:ind w:firstLine="540"/>
        <w:jc w:val="both"/>
      </w:pPr>
      <w:r>
        <w:rPr>
          <w:sz w:val="20"/>
        </w:rPr>
        <w:t xml:space="preserve">участвует в работе аттестационной комиссии Главного управления, конкурсной комиссии по проведению конкурсов на замещение вакантных должностей государственной гражданской службы области, по формированию кадрового резерва, по заключению договоров на обучение в целях профессиональной подготовки кадров в Главном управлении;</w:t>
      </w:r>
    </w:p>
    <w:p>
      <w:pPr>
        <w:pStyle w:val="0"/>
        <w:spacing w:before="200" w:lineRule="auto"/>
        <w:ind w:firstLine="540"/>
        <w:jc w:val="both"/>
      </w:pPr>
      <w:r>
        <w:rPr>
          <w:sz w:val="20"/>
        </w:rPr>
        <w:t xml:space="preserve">проводит предварительное обсуждение проектов законов области, постановлений Законодательного Собрания области, нормативных правовых актов Губернатора области, Правительства области в случаях, предусмотренных </w:t>
      </w:r>
      <w:hyperlink w:history="0" r:id="rId18" w:tooltip="Постановление Губернатора Вологодской области от 06.06.2013 N 249 (ред. от 16.10.2024) &quot;О составе нормативных правовых актов и иных документов, включая программные, разрабатываемые исполнительными органами области, которые не могут быть приняты без предварительного обсуждения на заседаниях общественных советов при этих исполнительных органах области&quot; {КонсультантПлюс}">
        <w:r>
          <w:rPr>
            <w:sz w:val="20"/>
            <w:color w:val="0000ff"/>
          </w:rPr>
          <w:t xml:space="preserve">постановлением</w:t>
        </w:r>
      </w:hyperlink>
      <w:r>
        <w:rPr>
          <w:sz w:val="20"/>
        </w:rPr>
        <w:t xml:space="preserve"> Губернатора области от 6 июня 2013 года N 249 "О составе нормативных правовых актов и иных документов, включая программные, разрабатываемые исполнительными органами области, которые не могут быть приняты без предварительного обсуждения на заседаниях общественных советов при этих исполнительных органах области";</w:t>
      </w:r>
    </w:p>
    <w:p>
      <w:pPr>
        <w:pStyle w:val="0"/>
        <w:spacing w:before="200" w:lineRule="auto"/>
        <w:ind w:firstLine="540"/>
        <w:jc w:val="both"/>
      </w:pPr>
      <w:r>
        <w:rPr>
          <w:sz w:val="20"/>
        </w:rPr>
        <w:t xml:space="preserve">рассматривает и оценивает мероприятия Главного управления в части, касающейся функционирования антимонопольного комплекса;</w:t>
      </w:r>
    </w:p>
    <w:p>
      <w:pPr>
        <w:pStyle w:val="0"/>
        <w:jc w:val="both"/>
      </w:pPr>
      <w:r>
        <w:rPr>
          <w:sz w:val="20"/>
        </w:rPr>
        <w:t xml:space="preserve">(абзац введен </w:t>
      </w:r>
      <w:hyperlink w:history="0" r:id="rId19" w:tooltip="Приказ Главного управления конкурентной политики Вологодской области от 21.05.2025 N 60 &quot;О внесении изменений в приказ Главного управления конкурентной политики области от 26 декабря 2024 года N 158&quot; {КонсультантПлюс}">
        <w:r>
          <w:rPr>
            <w:sz w:val="20"/>
            <w:color w:val="0000ff"/>
          </w:rPr>
          <w:t xml:space="preserve">приказом</w:t>
        </w:r>
      </w:hyperlink>
      <w:r>
        <w:rPr>
          <w:sz w:val="20"/>
        </w:rPr>
        <w:t xml:space="preserve"> Главного управления конкурентной политики Вологодской области от 21.05.2025 N 60)</w:t>
      </w:r>
    </w:p>
    <w:p>
      <w:pPr>
        <w:pStyle w:val="0"/>
        <w:spacing w:before="200" w:lineRule="auto"/>
        <w:ind w:firstLine="540"/>
        <w:jc w:val="both"/>
      </w:pPr>
      <w:r>
        <w:rPr>
          <w:sz w:val="20"/>
        </w:rPr>
        <w:t xml:space="preserve">проводит (не реже 1 раза в год при утверждении доклада об антимонопольном комплаенсе) оценку достижения ключевых показателей эффективности антимонопольного комплаенса в Главном управлении;</w:t>
      </w:r>
    </w:p>
    <w:p>
      <w:pPr>
        <w:pStyle w:val="0"/>
        <w:jc w:val="both"/>
      </w:pPr>
      <w:r>
        <w:rPr>
          <w:sz w:val="20"/>
        </w:rPr>
        <w:t xml:space="preserve">(абзац введен </w:t>
      </w:r>
      <w:hyperlink w:history="0" r:id="rId20" w:tooltip="Приказ Главного управления конкурентной политики Вологодской области от 21.05.2025 N 60 &quot;О внесении изменений в приказ Главного управления конкурентной политики области от 26 декабря 2024 года N 158&quot; {КонсультантПлюс}">
        <w:r>
          <w:rPr>
            <w:sz w:val="20"/>
            <w:color w:val="0000ff"/>
          </w:rPr>
          <w:t xml:space="preserve">приказом</w:t>
        </w:r>
      </w:hyperlink>
      <w:r>
        <w:rPr>
          <w:sz w:val="20"/>
        </w:rPr>
        <w:t xml:space="preserve"> Главного управления конкурентной политики Вологодской области от 21.05.2025 N 60)</w:t>
      </w:r>
    </w:p>
    <w:p>
      <w:pPr>
        <w:pStyle w:val="0"/>
        <w:spacing w:before="200" w:lineRule="auto"/>
        <w:ind w:firstLine="540"/>
        <w:jc w:val="both"/>
      </w:pPr>
      <w:r>
        <w:rPr>
          <w:sz w:val="20"/>
        </w:rPr>
        <w:t xml:space="preserve">ежегодно в срок не позднее 1 февраля года, следующего за отчетным, рассматривает и утверждает доклад об антимонопольном комплаенсе.</w:t>
      </w:r>
    </w:p>
    <w:p>
      <w:pPr>
        <w:pStyle w:val="0"/>
        <w:jc w:val="both"/>
      </w:pPr>
      <w:r>
        <w:rPr>
          <w:sz w:val="20"/>
        </w:rPr>
        <w:t xml:space="preserve">(абзац введен </w:t>
      </w:r>
      <w:hyperlink w:history="0" r:id="rId21" w:tooltip="Приказ Главного управления конкурентной политики Вологодской области от 21.05.2025 N 60 &quot;О внесении изменений в приказ Главного управления конкурентной политики области от 26 декабря 2024 года N 158&quot; {КонсультантПлюс}">
        <w:r>
          <w:rPr>
            <w:sz w:val="20"/>
            <w:color w:val="0000ff"/>
          </w:rPr>
          <w:t xml:space="preserve">приказом</w:t>
        </w:r>
      </w:hyperlink>
      <w:r>
        <w:rPr>
          <w:sz w:val="20"/>
        </w:rPr>
        <w:t xml:space="preserve"> Главного управления конкурентной политики Вологодской области от 21.05.2025 N 60)</w:t>
      </w:r>
    </w:p>
    <w:p>
      <w:pPr>
        <w:pStyle w:val="0"/>
        <w:spacing w:before="200" w:lineRule="auto"/>
        <w:ind w:firstLine="540"/>
        <w:jc w:val="both"/>
      </w:pPr>
      <w:r>
        <w:rPr>
          <w:sz w:val="20"/>
        </w:rPr>
        <w:t xml:space="preserve">3.2. Члены Общественного совета имеют право:</w:t>
      </w:r>
    </w:p>
    <w:p>
      <w:pPr>
        <w:pStyle w:val="0"/>
        <w:spacing w:before="200" w:lineRule="auto"/>
        <w:ind w:firstLine="540"/>
        <w:jc w:val="both"/>
      </w:pPr>
      <w:r>
        <w:rPr>
          <w:sz w:val="20"/>
        </w:rPr>
        <w:t xml:space="preserve">участвовать в мероприятиях, проводимых. Общественным советом, в подготовке материалов по рассматриваемым на заседаниях Общественного совета вопросам;</w:t>
      </w:r>
    </w:p>
    <w:p>
      <w:pPr>
        <w:pStyle w:val="0"/>
        <w:spacing w:before="200" w:lineRule="auto"/>
        <w:ind w:firstLine="540"/>
        <w:jc w:val="both"/>
      </w:pPr>
      <w:r>
        <w:rPr>
          <w:sz w:val="20"/>
        </w:rPr>
        <w:t xml:space="preserve">вносить предложения, замечания и поправки к проектам планов работы Общественного совета, повестке дня и порядку ведения его заседаний;</w:t>
      </w:r>
    </w:p>
    <w:p>
      <w:pPr>
        <w:pStyle w:val="0"/>
        <w:spacing w:before="200" w:lineRule="auto"/>
        <w:ind w:firstLine="540"/>
        <w:jc w:val="both"/>
      </w:pPr>
      <w:r>
        <w:rPr>
          <w:sz w:val="20"/>
        </w:rPr>
        <w:t xml:space="preserve">знакомиться с представленными в Общественный совет документами;</w:t>
      </w:r>
    </w:p>
    <w:p>
      <w:pPr>
        <w:pStyle w:val="0"/>
        <w:spacing w:before="200" w:lineRule="auto"/>
        <w:ind w:firstLine="540"/>
        <w:jc w:val="both"/>
      </w:pPr>
      <w:r>
        <w:rPr>
          <w:sz w:val="20"/>
        </w:rPr>
        <w:t xml:space="preserve">высказывать свое мнение по существу обсуждаемых вопросов, давать замечания и предложения по проектам принимаемых решений и протоколам заседаний Общественного совета;</w:t>
      </w:r>
    </w:p>
    <w:p>
      <w:pPr>
        <w:pStyle w:val="0"/>
        <w:spacing w:before="200" w:lineRule="auto"/>
        <w:ind w:firstLine="540"/>
        <w:jc w:val="both"/>
      </w:pPr>
      <w:r>
        <w:rPr>
          <w:sz w:val="20"/>
        </w:rPr>
        <w:t xml:space="preserve">участвовать в организации и проведении "круглых столов", конференций и семинаров, а также иных мероприятий по вопросам, относящимся к полномочиям Общественного совета;</w:t>
      </w:r>
    </w:p>
    <w:p>
      <w:pPr>
        <w:pStyle w:val="0"/>
        <w:spacing w:before="200" w:lineRule="auto"/>
        <w:ind w:firstLine="540"/>
        <w:jc w:val="both"/>
      </w:pPr>
      <w:r>
        <w:rPr>
          <w:sz w:val="20"/>
        </w:rPr>
        <w:t xml:space="preserve">использовать в своей работе информацию, аналитические и иные материалы, полученные в результате общественной деятельности;</w:t>
      </w:r>
    </w:p>
    <w:p>
      <w:pPr>
        <w:pStyle w:val="0"/>
        <w:spacing w:before="200" w:lineRule="auto"/>
        <w:ind w:firstLine="540"/>
        <w:jc w:val="both"/>
      </w:pPr>
      <w:r>
        <w:rPr>
          <w:sz w:val="20"/>
        </w:rPr>
        <w:t xml:space="preserve">давать предложения и замечания при участии в предварительном общественном обсуждении нормативных правовых актов и иных документов, разрабатываемых Главным управлением, которые не могут быть приняты без предварительного общественного обсуждения на заседаниях общественных советов.</w:t>
      </w:r>
    </w:p>
    <w:p>
      <w:pPr>
        <w:pStyle w:val="0"/>
        <w:spacing w:before="200" w:lineRule="auto"/>
        <w:ind w:firstLine="540"/>
        <w:jc w:val="both"/>
      </w:pPr>
      <w:r>
        <w:rPr>
          <w:sz w:val="20"/>
        </w:rPr>
        <w:t xml:space="preserve">3.3. Члены Общественного совета могут формировать рабочие группы и комиссии с привлечением специалистов различных направлений деятельности и представителей общественности. Составы комиссий и рабочих групп утверждаются решением Общественного совета.</w:t>
      </w:r>
    </w:p>
    <w:p>
      <w:pPr>
        <w:pStyle w:val="0"/>
        <w:spacing w:before="200" w:lineRule="auto"/>
        <w:ind w:firstLine="540"/>
        <w:jc w:val="both"/>
      </w:pPr>
      <w:r>
        <w:rPr>
          <w:sz w:val="20"/>
        </w:rPr>
        <w:t xml:space="preserve">3.4. Общественный совет принимает участие в осуществлении общественного контроля в следующих формах:</w:t>
      </w:r>
    </w:p>
    <w:p>
      <w:pPr>
        <w:pStyle w:val="0"/>
        <w:spacing w:before="200" w:lineRule="auto"/>
        <w:ind w:firstLine="540"/>
        <w:jc w:val="both"/>
      </w:pPr>
      <w:r>
        <w:rPr>
          <w:sz w:val="20"/>
        </w:rPr>
        <w:t xml:space="preserve">- общественного мониторинга;</w:t>
      </w:r>
    </w:p>
    <w:p>
      <w:pPr>
        <w:pStyle w:val="0"/>
        <w:spacing w:before="200" w:lineRule="auto"/>
        <w:ind w:firstLine="540"/>
        <w:jc w:val="both"/>
      </w:pPr>
      <w:r>
        <w:rPr>
          <w:sz w:val="20"/>
        </w:rPr>
        <w:t xml:space="preserve">- общественной проверки;</w:t>
      </w:r>
    </w:p>
    <w:p>
      <w:pPr>
        <w:pStyle w:val="0"/>
        <w:spacing w:before="200" w:lineRule="auto"/>
        <w:ind w:firstLine="540"/>
        <w:jc w:val="both"/>
      </w:pPr>
      <w:r>
        <w:rPr>
          <w:sz w:val="20"/>
        </w:rPr>
        <w:t xml:space="preserve">- общественной экспертизы;</w:t>
      </w:r>
    </w:p>
    <w:p>
      <w:pPr>
        <w:pStyle w:val="0"/>
        <w:spacing w:before="200" w:lineRule="auto"/>
        <w:ind w:firstLine="540"/>
        <w:jc w:val="both"/>
      </w:pPr>
      <w:r>
        <w:rPr>
          <w:sz w:val="20"/>
        </w:rPr>
        <w:t xml:space="preserve">- общественного обсуждения;</w:t>
      </w:r>
    </w:p>
    <w:p>
      <w:pPr>
        <w:pStyle w:val="0"/>
        <w:spacing w:before="200" w:lineRule="auto"/>
        <w:ind w:firstLine="540"/>
        <w:jc w:val="both"/>
      </w:pPr>
      <w:r>
        <w:rPr>
          <w:sz w:val="20"/>
        </w:rPr>
        <w:t xml:space="preserve">- общественных слушаний;</w:t>
      </w:r>
    </w:p>
    <w:p>
      <w:pPr>
        <w:pStyle w:val="0"/>
        <w:spacing w:before="200" w:lineRule="auto"/>
        <w:ind w:firstLine="540"/>
        <w:jc w:val="both"/>
      </w:pPr>
      <w:r>
        <w:rPr>
          <w:sz w:val="20"/>
        </w:rPr>
        <w:t xml:space="preserve">- иных формах, предусмотренных федеральными законами, законами и иными нормативными правовыми актами Вологодской области.</w:t>
      </w:r>
    </w:p>
    <w:p>
      <w:pPr>
        <w:pStyle w:val="0"/>
        <w:spacing w:before="200" w:lineRule="auto"/>
        <w:ind w:firstLine="540"/>
        <w:jc w:val="both"/>
      </w:pPr>
      <w:r>
        <w:rPr>
          <w:sz w:val="20"/>
        </w:rPr>
        <w:t xml:space="preserve">Общественный совет при Главном управлении самостоятельно принимает решение об участии в осуществлении общественного контроля, определяет порядок такого участия.</w:t>
      </w:r>
    </w:p>
    <w:p>
      <w:pPr>
        <w:pStyle w:val="0"/>
        <w:jc w:val="both"/>
      </w:pPr>
      <w:r>
        <w:rPr>
          <w:sz w:val="20"/>
        </w:rPr>
      </w:r>
    </w:p>
    <w:bookmarkStart w:id="108" w:name="P108"/>
    <w:bookmarkEnd w:id="108"/>
    <w:p>
      <w:pPr>
        <w:pStyle w:val="2"/>
        <w:outlineLvl w:val="1"/>
        <w:jc w:val="center"/>
      </w:pPr>
      <w:r>
        <w:rPr>
          <w:sz w:val="20"/>
        </w:rPr>
        <w:t xml:space="preserve">4. Порядок формирования Общественного совета</w:t>
      </w:r>
    </w:p>
    <w:p>
      <w:pPr>
        <w:pStyle w:val="0"/>
        <w:jc w:val="both"/>
      </w:pPr>
      <w:r>
        <w:rPr>
          <w:sz w:val="20"/>
        </w:rPr>
      </w:r>
    </w:p>
    <w:p>
      <w:pPr>
        <w:pStyle w:val="0"/>
        <w:ind w:firstLine="540"/>
        <w:jc w:val="both"/>
      </w:pPr>
      <w:r>
        <w:rPr>
          <w:sz w:val="20"/>
        </w:rPr>
        <w:t xml:space="preserve">4.1. Совет формируется сроком на четыре года в количестве не менее 5 человек, но не более 20 человек.</w:t>
      </w:r>
    </w:p>
    <w:p>
      <w:pPr>
        <w:pStyle w:val="0"/>
        <w:spacing w:before="200" w:lineRule="auto"/>
        <w:ind w:firstLine="540"/>
        <w:jc w:val="both"/>
      </w:pPr>
      <w:r>
        <w:rPr>
          <w:sz w:val="20"/>
        </w:rPr>
        <w:t xml:space="preserve">Члены предыдущего состава Общественного совета включаются в следующий состав Общественного совета, если письменно не заявят о своем выходе из состава Общественного совета.</w:t>
      </w:r>
    </w:p>
    <w:p>
      <w:pPr>
        <w:pStyle w:val="0"/>
        <w:spacing w:before="200" w:lineRule="auto"/>
        <w:ind w:firstLine="540"/>
        <w:jc w:val="both"/>
      </w:pPr>
      <w:r>
        <w:rPr>
          <w:sz w:val="20"/>
        </w:rPr>
        <w:t xml:space="preserve">4.2. Отбор кандидатов в члены Общественного совета осуществляется на основе гласности и добровольного участия в деятельности Общественного совета.</w:t>
      </w:r>
    </w:p>
    <w:p>
      <w:pPr>
        <w:pStyle w:val="0"/>
        <w:spacing w:before="200" w:lineRule="auto"/>
        <w:ind w:firstLine="540"/>
        <w:jc w:val="both"/>
      </w:pPr>
      <w:r>
        <w:rPr>
          <w:sz w:val="20"/>
        </w:rPr>
        <w:t xml:space="preserve">4.3. Общественный совет формируется из числа граждан Российской Федерации, постоянно проживающих на территории области, достигших возраста восемнадцати лет, обладающих знаниями и навыками, позволяющими решать задачи, возложенные на Общественный совет. Отбор кандидатов в члены Общественного совета производится по итогам публичных консультаций Главного управления с представителями институтов гражданского общества на основании следующих критериев:</w:t>
      </w:r>
    </w:p>
    <w:p>
      <w:pPr>
        <w:pStyle w:val="0"/>
        <w:spacing w:before="200" w:lineRule="auto"/>
        <w:ind w:firstLine="540"/>
        <w:jc w:val="both"/>
      </w:pPr>
      <w:r>
        <w:rPr>
          <w:sz w:val="20"/>
        </w:rPr>
        <w:t xml:space="preserve">опыт участия в качестве независимого эксперта в работе комиссий, создаваемых в исполнительных органах области;</w:t>
      </w:r>
    </w:p>
    <w:p>
      <w:pPr>
        <w:pStyle w:val="0"/>
        <w:spacing w:before="200" w:lineRule="auto"/>
        <w:ind w:firstLine="540"/>
        <w:jc w:val="both"/>
      </w:pPr>
      <w:r>
        <w:rPr>
          <w:sz w:val="20"/>
        </w:rPr>
        <w:t xml:space="preserve">опыт участия в разработке проектов нормативных правовых актов; профессиональные достижения за последние три года.</w:t>
      </w:r>
    </w:p>
    <w:p>
      <w:pPr>
        <w:pStyle w:val="0"/>
        <w:spacing w:before="200" w:lineRule="auto"/>
        <w:ind w:firstLine="540"/>
        <w:jc w:val="both"/>
      </w:pPr>
      <w:r>
        <w:rPr>
          <w:sz w:val="20"/>
        </w:rPr>
        <w:t xml:space="preserve">4.4. Членами Общественного совета не могут быть лица, которые в соответствии с </w:t>
      </w:r>
      <w:hyperlink w:history="0" r:id="rId22" w:tooltip="Закон Вологодской области от 23.01.2017 N 4097-ОЗ (ред. от 09.01.2025) &quot;Об Общественной палате Вологодской области&quot; (принят Постановлением ЗС Вологодской области от 28.12.2016 N 747) (вместе с &quot;Порядком компенсации расходов членов общественной палаты, понесенных за счет собственных средств в связи с исполнением полномочий, а также возмещения расходов членов общественной наблюдательной комиссии, связанных с осуществлением их полномочий&quot;) {КонсультантПлюс}">
        <w:r>
          <w:rPr>
            <w:sz w:val="20"/>
            <w:color w:val="0000ff"/>
          </w:rPr>
          <w:t xml:space="preserve">законом</w:t>
        </w:r>
      </w:hyperlink>
      <w:r>
        <w:rPr>
          <w:sz w:val="20"/>
        </w:rPr>
        <w:t xml:space="preserve"> области от 23 января 2017 года N 4097-ОЗ "Об Общественной палате Вологодской области" не могут быть членами Общественной палаты области.</w:t>
      </w:r>
    </w:p>
    <w:p>
      <w:pPr>
        <w:pStyle w:val="0"/>
        <w:spacing w:before="200" w:lineRule="auto"/>
        <w:ind w:firstLine="540"/>
        <w:jc w:val="both"/>
      </w:pPr>
      <w:r>
        <w:rPr>
          <w:sz w:val="20"/>
        </w:rPr>
        <w:t xml:space="preserve">4.5. Решение о включении кандидатов в члены Общественного совета принимается начальником Главного управления с учетом результатов публичных консультаций и оформляется приказом Главного управления в течение 5 рабочих дней со дня окончания публичных консультаций, который подлежит размещению на официальном сайте.</w:t>
      </w:r>
    </w:p>
    <w:p>
      <w:pPr>
        <w:pStyle w:val="0"/>
        <w:jc w:val="both"/>
      </w:pPr>
      <w:r>
        <w:rPr>
          <w:sz w:val="20"/>
        </w:rPr>
      </w:r>
    </w:p>
    <w:p>
      <w:pPr>
        <w:pStyle w:val="2"/>
        <w:outlineLvl w:val="1"/>
        <w:jc w:val="center"/>
      </w:pPr>
      <w:r>
        <w:rPr>
          <w:sz w:val="20"/>
        </w:rPr>
        <w:t xml:space="preserve">5. Прекращение полномочий члена Общественного совета</w:t>
      </w:r>
    </w:p>
    <w:p>
      <w:pPr>
        <w:pStyle w:val="0"/>
        <w:jc w:val="both"/>
      </w:pPr>
      <w:r>
        <w:rPr>
          <w:sz w:val="20"/>
        </w:rPr>
      </w:r>
    </w:p>
    <w:bookmarkStart w:id="121" w:name="P121"/>
    <w:bookmarkEnd w:id="121"/>
    <w:p>
      <w:pPr>
        <w:pStyle w:val="0"/>
        <w:ind w:firstLine="540"/>
        <w:jc w:val="both"/>
      </w:pPr>
      <w:r>
        <w:rPr>
          <w:sz w:val="20"/>
        </w:rPr>
        <w:t xml:space="preserve">5.1. Полномочия члена Общественного совета прекращаются досрочно в случае:</w:t>
      </w:r>
    </w:p>
    <w:p>
      <w:pPr>
        <w:pStyle w:val="0"/>
        <w:spacing w:before="200" w:lineRule="auto"/>
        <w:ind w:firstLine="540"/>
        <w:jc w:val="both"/>
      </w:pPr>
      <w:r>
        <w:rPr>
          <w:sz w:val="20"/>
        </w:rPr>
        <w:t xml:space="preserve">его смерти;</w:t>
      </w:r>
    </w:p>
    <w:p>
      <w:pPr>
        <w:pStyle w:val="0"/>
        <w:spacing w:before="200" w:lineRule="auto"/>
        <w:ind w:firstLine="540"/>
        <w:jc w:val="both"/>
      </w:pPr>
      <w:r>
        <w:rPr>
          <w:sz w:val="20"/>
        </w:rPr>
        <w:t xml:space="preserve">письменного заявления о выходе из состава Общественного совета;</w:t>
      </w:r>
    </w:p>
    <w:p>
      <w:pPr>
        <w:pStyle w:val="0"/>
        <w:spacing w:before="200" w:lineRule="auto"/>
        <w:ind w:firstLine="540"/>
        <w:jc w:val="both"/>
      </w:pPr>
      <w:r>
        <w:rPr>
          <w:sz w:val="20"/>
        </w:rPr>
        <w:t xml:space="preserve">принятия на заседании Общественного совета не менее половиной его членов решения о досрочном прекращении полномочий;</w:t>
      </w:r>
    </w:p>
    <w:p>
      <w:pPr>
        <w:pStyle w:val="0"/>
        <w:spacing w:before="200" w:lineRule="auto"/>
        <w:ind w:firstLine="540"/>
        <w:jc w:val="both"/>
      </w:pPr>
      <w:r>
        <w:rPr>
          <w:sz w:val="20"/>
        </w:rPr>
        <w:t xml:space="preserve">его выезда за пределы Российской Федерации, Вологодской области на постоянное место жительства;</w:t>
      </w:r>
    </w:p>
    <w:p>
      <w:pPr>
        <w:pStyle w:val="0"/>
        <w:spacing w:before="200" w:lineRule="auto"/>
        <w:ind w:firstLine="540"/>
        <w:jc w:val="both"/>
      </w:pPr>
      <w:r>
        <w:rPr>
          <w:sz w:val="20"/>
        </w:rPr>
        <w:t xml:space="preserve">утраты им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признания его судом недееспособным или ограниченно дееспособным;</w:t>
      </w:r>
    </w:p>
    <w:p>
      <w:pPr>
        <w:pStyle w:val="0"/>
        <w:spacing w:before="200" w:lineRule="auto"/>
        <w:ind w:firstLine="540"/>
        <w:jc w:val="both"/>
      </w:pPr>
      <w:r>
        <w:rPr>
          <w:sz w:val="20"/>
        </w:rPr>
        <w:t xml:space="preserve">признания его судом безвестно отсутствующим или объявления умершим;</w:t>
      </w:r>
    </w:p>
    <w:p>
      <w:pPr>
        <w:pStyle w:val="0"/>
        <w:spacing w:before="200" w:lineRule="auto"/>
        <w:ind w:firstLine="540"/>
        <w:jc w:val="both"/>
      </w:pPr>
      <w:r>
        <w:rPr>
          <w:sz w:val="20"/>
        </w:rPr>
        <w:t xml:space="preserve">вступления в отношении его в законную силу обвинительного приговора суда;</w:t>
      </w:r>
    </w:p>
    <w:p>
      <w:pPr>
        <w:pStyle w:val="0"/>
        <w:spacing w:before="200" w:lineRule="auto"/>
        <w:ind w:firstLine="540"/>
        <w:jc w:val="both"/>
      </w:pPr>
      <w:r>
        <w:rPr>
          <w:sz w:val="20"/>
        </w:rPr>
        <w:t xml:space="preserve">назначения на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муниципальные должности и должности муниципальной службы;</w:t>
      </w:r>
    </w:p>
    <w:p>
      <w:pPr>
        <w:pStyle w:val="0"/>
        <w:spacing w:before="200" w:lineRule="auto"/>
        <w:ind w:firstLine="540"/>
        <w:jc w:val="both"/>
      </w:pPr>
      <w:r>
        <w:rPr>
          <w:sz w:val="20"/>
        </w:rPr>
        <w:t xml:space="preserve">избрания на должность в органах местного самоуправления.</w:t>
      </w:r>
    </w:p>
    <w:p>
      <w:pPr>
        <w:pStyle w:val="0"/>
        <w:spacing w:before="200" w:lineRule="auto"/>
        <w:ind w:firstLine="540"/>
        <w:jc w:val="both"/>
      </w:pPr>
      <w:r>
        <w:rPr>
          <w:sz w:val="20"/>
        </w:rPr>
        <w:t xml:space="preserve">5.2. Решение о досрочном прекращении полномочий члена Общественного совета принимается начальникам Главного управления по основаниям, предусмотренным </w:t>
      </w:r>
      <w:hyperlink w:history="0" w:anchor="P121" w:tooltip="5.1. Полномочия члена Общественного совета прекращаются досрочно в случае:">
        <w:r>
          <w:rPr>
            <w:sz w:val="20"/>
            <w:color w:val="0000ff"/>
          </w:rPr>
          <w:t xml:space="preserve">пунктом 5.1</w:t>
        </w:r>
      </w:hyperlink>
      <w:r>
        <w:rPr>
          <w:sz w:val="20"/>
        </w:rPr>
        <w:t xml:space="preserve"> настоящего Положения, и оформляется приказом Главного управления, который издается в течение 20 рабочих дней со дня. когда стало известно о наличии оснований для досрочного прекращения полномочий члена Общественного совета.</w:t>
      </w:r>
    </w:p>
    <w:p>
      <w:pPr>
        <w:pStyle w:val="0"/>
        <w:spacing w:before="200" w:lineRule="auto"/>
        <w:ind w:firstLine="540"/>
        <w:jc w:val="both"/>
      </w:pPr>
      <w:r>
        <w:rPr>
          <w:sz w:val="20"/>
        </w:rPr>
        <w:t xml:space="preserve">5.3. В случае досрочного прекращения полномочий члена Общественного совета в соответствии с </w:t>
      </w:r>
      <w:hyperlink w:history="0" w:anchor="P121" w:tooltip="5.1. Полномочия члена Общественного совета прекращаются досрочно в случае:">
        <w:r>
          <w:rPr>
            <w:sz w:val="20"/>
            <w:color w:val="0000ff"/>
          </w:rPr>
          <w:t xml:space="preserve">подпунктом 5.1</w:t>
        </w:r>
      </w:hyperlink>
      <w:r>
        <w:rPr>
          <w:sz w:val="20"/>
        </w:rPr>
        <w:t xml:space="preserve"> настоящего Положения новый член Общественного совета вводится в его состав в порядке, предусмотренном </w:t>
      </w:r>
      <w:hyperlink w:history="0" w:anchor="P108" w:tooltip="4. Порядок формирования Общественного совета">
        <w:r>
          <w:rPr>
            <w:sz w:val="20"/>
            <w:color w:val="0000ff"/>
          </w:rPr>
          <w:t xml:space="preserve">разделом 4</w:t>
        </w:r>
      </w:hyperlink>
      <w:r>
        <w:rPr>
          <w:sz w:val="20"/>
        </w:rPr>
        <w:t xml:space="preserve"> настоящего Положения, в течение 30 рабочих дней со дня издания приказа Главного управления о досрочном прекращении полномочий члена Общественного совета.</w:t>
      </w:r>
    </w:p>
    <w:p>
      <w:pPr>
        <w:pStyle w:val="0"/>
        <w:spacing w:before="200" w:lineRule="auto"/>
        <w:ind w:firstLine="540"/>
        <w:jc w:val="both"/>
      </w:pPr>
      <w:r>
        <w:rPr>
          <w:sz w:val="20"/>
        </w:rPr>
        <w:t xml:space="preserve">5.4. Начальник Главного управления вправе принять решение о досрочном прекращении полномочий Общественного совета при неисполнении или ненадлежащем исполнении Общественным советом своих полномочий. В случае досрочного прекращения полномочий Общественный совет продолжает действовать до формирования нового состава Общественного совета.</w:t>
      </w:r>
    </w:p>
    <w:p>
      <w:pPr>
        <w:pStyle w:val="0"/>
        <w:jc w:val="both"/>
      </w:pPr>
      <w:r>
        <w:rPr>
          <w:sz w:val="20"/>
        </w:rPr>
      </w:r>
    </w:p>
    <w:p>
      <w:pPr>
        <w:pStyle w:val="2"/>
        <w:outlineLvl w:val="1"/>
        <w:jc w:val="center"/>
      </w:pPr>
      <w:r>
        <w:rPr>
          <w:sz w:val="20"/>
        </w:rPr>
        <w:t xml:space="preserve">6. Структура Общественного совета</w:t>
      </w:r>
    </w:p>
    <w:p>
      <w:pPr>
        <w:pStyle w:val="0"/>
        <w:jc w:val="both"/>
      </w:pPr>
      <w:r>
        <w:rPr>
          <w:sz w:val="20"/>
        </w:rPr>
      </w:r>
    </w:p>
    <w:p>
      <w:pPr>
        <w:pStyle w:val="0"/>
        <w:ind w:firstLine="540"/>
        <w:jc w:val="both"/>
      </w:pPr>
      <w:r>
        <w:rPr>
          <w:sz w:val="20"/>
        </w:rPr>
        <w:t xml:space="preserve">6.1. В состав Общественного совета входят председатель Общественного совета, заместитель председателя, секретарь и члены Общественного совета.</w:t>
      </w:r>
    </w:p>
    <w:p>
      <w:pPr>
        <w:pStyle w:val="0"/>
        <w:spacing w:before="200" w:lineRule="auto"/>
        <w:ind w:firstLine="540"/>
        <w:jc w:val="both"/>
      </w:pPr>
      <w:r>
        <w:rPr>
          <w:sz w:val="20"/>
        </w:rPr>
        <w:t xml:space="preserve">6.2. Председатель Общественного совета, заместитель председателя Общественного совета и секретарь Общественного совета избираются из числа членов Общественного совета на заседании Общественного совета.</w:t>
      </w:r>
    </w:p>
    <w:p>
      <w:pPr>
        <w:pStyle w:val="0"/>
        <w:spacing w:before="200" w:lineRule="auto"/>
        <w:ind w:firstLine="540"/>
        <w:jc w:val="both"/>
      </w:pPr>
      <w:r>
        <w:rPr>
          <w:sz w:val="20"/>
        </w:rPr>
        <w:t xml:space="preserve">6.3. Председатель Общественного совета:</w:t>
      </w:r>
    </w:p>
    <w:p>
      <w:pPr>
        <w:pStyle w:val="0"/>
        <w:spacing w:before="200" w:lineRule="auto"/>
        <w:ind w:firstLine="540"/>
        <w:jc w:val="both"/>
      </w:pPr>
      <w:r>
        <w:rPr>
          <w:sz w:val="20"/>
        </w:rPr>
        <w:t xml:space="preserve">организует деятельность Общественного совета, в том числе созывает очередные и внеочередные заседания Общественного совета, ведет заседания Общественного совета, распределяет обязанности между членами Общественного совета, осуществляет контроль за исполнением решений Общественного совета;</w:t>
      </w:r>
    </w:p>
    <w:p>
      <w:pPr>
        <w:pStyle w:val="0"/>
        <w:spacing w:before="200" w:lineRule="auto"/>
        <w:ind w:firstLine="540"/>
        <w:jc w:val="both"/>
      </w:pPr>
      <w:r>
        <w:rPr>
          <w:sz w:val="20"/>
        </w:rPr>
        <w:t xml:space="preserve">формирует повестку заседаний Общественного совета на основании предложений членов Общественного совета;</w:t>
      </w:r>
    </w:p>
    <w:p>
      <w:pPr>
        <w:pStyle w:val="0"/>
        <w:spacing w:before="200" w:lineRule="auto"/>
        <w:ind w:firstLine="540"/>
        <w:jc w:val="both"/>
      </w:pPr>
      <w:r>
        <w:rPr>
          <w:sz w:val="20"/>
        </w:rPr>
        <w:t xml:space="preserve">подписывает протоколы и документы, связанные с деятельностью Общественного совета.</w:t>
      </w:r>
    </w:p>
    <w:p>
      <w:pPr>
        <w:pStyle w:val="0"/>
        <w:spacing w:before="200" w:lineRule="auto"/>
        <w:ind w:firstLine="540"/>
        <w:jc w:val="both"/>
      </w:pPr>
      <w:r>
        <w:rPr>
          <w:sz w:val="20"/>
        </w:rPr>
        <w:t xml:space="preserve">6.4. В отсутствие председателя его обязанности исполняет заместитель председателя Общественного совета.</w:t>
      </w:r>
    </w:p>
    <w:p>
      <w:pPr>
        <w:pStyle w:val="0"/>
        <w:spacing w:before="200" w:lineRule="auto"/>
        <w:ind w:firstLine="540"/>
        <w:jc w:val="both"/>
      </w:pPr>
      <w:r>
        <w:rPr>
          <w:sz w:val="20"/>
        </w:rPr>
        <w:t xml:space="preserve">6.5. Секретарь Общественного совета:</w:t>
      </w:r>
    </w:p>
    <w:p>
      <w:pPr>
        <w:pStyle w:val="0"/>
        <w:spacing w:before="200" w:lineRule="auto"/>
        <w:ind w:firstLine="540"/>
        <w:jc w:val="both"/>
      </w:pPr>
      <w:r>
        <w:rPr>
          <w:sz w:val="20"/>
        </w:rPr>
        <w:t xml:space="preserve">решает вопросы о месте, времени и обеспечении условий для проведения заседаний, а также информирует членов Общественного совета о проведении заседаний;</w:t>
      </w:r>
    </w:p>
    <w:p>
      <w:pPr>
        <w:pStyle w:val="0"/>
        <w:spacing w:before="200" w:lineRule="auto"/>
        <w:ind w:firstLine="540"/>
        <w:jc w:val="both"/>
      </w:pPr>
      <w:r>
        <w:rPr>
          <w:sz w:val="20"/>
        </w:rPr>
        <w:t xml:space="preserve">осуществляет координацию деятельности комиссий и рабочих групп Общественного совета;</w:t>
      </w:r>
    </w:p>
    <w:p>
      <w:pPr>
        <w:pStyle w:val="0"/>
        <w:spacing w:before="200" w:lineRule="auto"/>
        <w:ind w:firstLine="540"/>
        <w:jc w:val="both"/>
      </w:pPr>
      <w:r>
        <w:rPr>
          <w:sz w:val="20"/>
        </w:rPr>
        <w:t xml:space="preserve">осуществляет документационное обеспечение заседаний Общественного совета;</w:t>
      </w:r>
    </w:p>
    <w:p>
      <w:pPr>
        <w:pStyle w:val="0"/>
        <w:spacing w:before="200" w:lineRule="auto"/>
        <w:ind w:firstLine="540"/>
        <w:jc w:val="both"/>
      </w:pPr>
      <w:r>
        <w:rPr>
          <w:sz w:val="20"/>
        </w:rPr>
        <w:t xml:space="preserve">выполняет иные поручения председателя Общественного совета в рамках полномочий Общественного совета.</w:t>
      </w:r>
    </w:p>
    <w:p>
      <w:pPr>
        <w:pStyle w:val="0"/>
        <w:spacing w:before="200" w:lineRule="auto"/>
        <w:ind w:firstLine="540"/>
        <w:jc w:val="both"/>
      </w:pPr>
      <w:r>
        <w:rPr>
          <w:sz w:val="20"/>
        </w:rPr>
        <w:t xml:space="preserve">6.6. Члены Общественного совета:</w:t>
      </w:r>
    </w:p>
    <w:p>
      <w:pPr>
        <w:pStyle w:val="0"/>
        <w:spacing w:before="200" w:lineRule="auto"/>
        <w:ind w:firstLine="540"/>
        <w:jc w:val="both"/>
      </w:pPr>
      <w:r>
        <w:rPr>
          <w:sz w:val="20"/>
        </w:rPr>
        <w:t xml:space="preserve">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вносят предложения, замечания и поправки к проектам планов работы Общественного совета, по повестке дня и порядку ведения его заседаний;</w:t>
      </w:r>
    </w:p>
    <w:p>
      <w:pPr>
        <w:pStyle w:val="0"/>
        <w:spacing w:before="200" w:lineRule="auto"/>
        <w:ind w:firstLine="540"/>
        <w:jc w:val="both"/>
      </w:pPr>
      <w:r>
        <w:rPr>
          <w:sz w:val="20"/>
        </w:rPr>
        <w:t xml:space="preserve">знакомятся с документами, касающимися рассматриваемых проблем, высказывают свое мнение по существу обсуждаемых вопросов, замечания и предложения по проектам принимаемых решений и протоколу заседания Общественного совета;</w:t>
      </w:r>
    </w:p>
    <w:p>
      <w:pPr>
        <w:pStyle w:val="0"/>
        <w:spacing w:before="200" w:lineRule="auto"/>
        <w:ind w:firstLine="540"/>
        <w:jc w:val="both"/>
      </w:pPr>
      <w:r>
        <w:rPr>
          <w:sz w:val="20"/>
        </w:rPr>
        <w:t xml:space="preserve">формируют комиссии и рабочие группы для принятия компетентного решения по обсуждаемому вопросу;</w:t>
      </w:r>
    </w:p>
    <w:p>
      <w:pPr>
        <w:pStyle w:val="0"/>
        <w:spacing w:before="200" w:lineRule="auto"/>
        <w:ind w:firstLine="540"/>
        <w:jc w:val="both"/>
      </w:pPr>
      <w:r>
        <w:rPr>
          <w:sz w:val="20"/>
        </w:rPr>
        <w:t xml:space="preserve">обязаны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не вправе использовать свой статус в интересах политических партий, коммерческих и некоммерческих организаций, а также в личных интересах;</w:t>
      </w:r>
    </w:p>
    <w:p>
      <w:pPr>
        <w:pStyle w:val="0"/>
        <w:spacing w:before="200" w:lineRule="auto"/>
        <w:ind w:firstLine="540"/>
        <w:jc w:val="both"/>
      </w:pPr>
      <w:r>
        <w:rPr>
          <w:sz w:val="20"/>
        </w:rPr>
        <w:t xml:space="preserve">обладают равными правами при обсуждении вопросов и голосовании.</w:t>
      </w:r>
    </w:p>
    <w:p>
      <w:pPr>
        <w:pStyle w:val="0"/>
        <w:jc w:val="both"/>
      </w:pPr>
      <w:r>
        <w:rPr>
          <w:sz w:val="20"/>
        </w:rPr>
      </w:r>
    </w:p>
    <w:p>
      <w:pPr>
        <w:pStyle w:val="2"/>
        <w:outlineLvl w:val="1"/>
        <w:jc w:val="center"/>
      </w:pPr>
      <w:r>
        <w:rPr>
          <w:sz w:val="20"/>
        </w:rPr>
        <w:t xml:space="preserve">7. Организации работы Общественного совета</w:t>
      </w:r>
    </w:p>
    <w:p>
      <w:pPr>
        <w:pStyle w:val="0"/>
        <w:jc w:val="both"/>
      </w:pPr>
      <w:r>
        <w:rPr>
          <w:sz w:val="20"/>
        </w:rPr>
      </w:r>
    </w:p>
    <w:p>
      <w:pPr>
        <w:pStyle w:val="0"/>
        <w:ind w:firstLine="540"/>
        <w:jc w:val="both"/>
      </w:pPr>
      <w:r>
        <w:rPr>
          <w:sz w:val="20"/>
        </w:rPr>
        <w:t xml:space="preserve">7.1. Общественный совет осуществляет свою деятельность в соответствии с планом работы, составленным на год, утвержденным решением Общественного совета. Проект плана работы согласовывается с начальником Главного управления.</w:t>
      </w:r>
    </w:p>
    <w:p>
      <w:pPr>
        <w:pStyle w:val="0"/>
        <w:spacing w:before="200" w:lineRule="auto"/>
        <w:ind w:firstLine="540"/>
        <w:jc w:val="both"/>
      </w:pPr>
      <w:r>
        <w:rPr>
          <w:sz w:val="20"/>
        </w:rPr>
        <w:t xml:space="preserve">7.2. Основной формой деятельности Общественного совета являются заседания, которые проводятся не реже одного раза в полугодие. По решению председателя Общественного совета или начальника Главного управления проводится внеочередное заседание.</w:t>
      </w:r>
    </w:p>
    <w:p>
      <w:pPr>
        <w:pStyle w:val="0"/>
        <w:spacing w:before="200" w:lineRule="auto"/>
        <w:ind w:firstLine="540"/>
        <w:jc w:val="both"/>
      </w:pPr>
      <w:r>
        <w:rPr>
          <w:sz w:val="20"/>
        </w:rPr>
        <w:t xml:space="preserve">7.3. Начальник Главного управления (лицо, им уполномоченное) вправе участвовать в заседаниях Общественного совета с правом совещательного голоса.</w:t>
      </w:r>
    </w:p>
    <w:p>
      <w:pPr>
        <w:pStyle w:val="0"/>
        <w:spacing w:before="200" w:lineRule="auto"/>
        <w:ind w:firstLine="540"/>
        <w:jc w:val="both"/>
      </w:pPr>
      <w:r>
        <w:rPr>
          <w:sz w:val="20"/>
        </w:rPr>
        <w:t xml:space="preserve">7.4. За 15 дней до начала заседания Общественного совета его члены вносят председателю Общественного совета предложения в повестку дня и готовит для обсуждения информационные материалы. Начальник Главного управления имеет право вносить на обсуждение Общественного совета дополнительные вопросы, которые рассматриваются Общественным советом в первоочередном порядке.</w:t>
      </w:r>
    </w:p>
    <w:p>
      <w:pPr>
        <w:pStyle w:val="0"/>
        <w:spacing w:before="200" w:lineRule="auto"/>
        <w:ind w:firstLine="540"/>
        <w:jc w:val="both"/>
      </w:pPr>
      <w:r>
        <w:rPr>
          <w:sz w:val="20"/>
        </w:rPr>
        <w:t xml:space="preserve">7.5. Заседание Общественного совета считается правомочным, если на нем присутствуют не менее половины от общего числа его членов.</w:t>
      </w:r>
    </w:p>
    <w:p>
      <w:pPr>
        <w:pStyle w:val="0"/>
        <w:spacing w:before="200" w:lineRule="auto"/>
        <w:ind w:firstLine="540"/>
        <w:jc w:val="both"/>
      </w:pPr>
      <w:r>
        <w:rPr>
          <w:sz w:val="20"/>
        </w:rPr>
        <w:t xml:space="preserve">7.6. Решения Общественного совета принимаются открытым голосованием простым большинством голосов его членов, присутствующих на заседании. При равенстве голосов решающим является голос председательствующего.</w:t>
      </w:r>
    </w:p>
    <w:p>
      <w:pPr>
        <w:pStyle w:val="0"/>
        <w:spacing w:before="200" w:lineRule="auto"/>
        <w:ind w:firstLine="540"/>
        <w:jc w:val="both"/>
      </w:pPr>
      <w:r>
        <w:rPr>
          <w:sz w:val="20"/>
        </w:rPr>
        <w:t xml:space="preserve">7.7. Решения Общественного совета оформляются протоколами заседаний Общественного совета, копии которых направляются Начальнику Главного управления не позднее 7 рабочих дней со дня заседания Общественного совета.</w:t>
      </w:r>
    </w:p>
    <w:p>
      <w:pPr>
        <w:pStyle w:val="0"/>
        <w:spacing w:before="200" w:lineRule="auto"/>
        <w:ind w:firstLine="540"/>
        <w:jc w:val="both"/>
      </w:pPr>
      <w:r>
        <w:rPr>
          <w:sz w:val="20"/>
        </w:rPr>
        <w:t xml:space="preserve">7.8. Общественный совет в срок не позднее 1 февраля года, следующего за отчетным, публикует в средствах массовой информации утвержденный на заседании Общественного совета и согласованный с Начальником Главного управления ежегодный доклад о своей деятельности.</w:t>
      </w:r>
    </w:p>
    <w:p>
      <w:pPr>
        <w:pStyle w:val="0"/>
        <w:spacing w:before="200" w:lineRule="auto"/>
        <w:ind w:firstLine="540"/>
        <w:jc w:val="both"/>
      </w:pPr>
      <w:r>
        <w:rPr>
          <w:sz w:val="20"/>
        </w:rPr>
        <w:t xml:space="preserve">7.9. Организационно-техническое обеспечение деятельности Общественного совета осуществляет Главное управление.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Приказом</w:t>
      </w:r>
    </w:p>
    <w:p>
      <w:pPr>
        <w:pStyle w:val="0"/>
        <w:jc w:val="right"/>
      </w:pPr>
      <w:r>
        <w:rPr>
          <w:sz w:val="20"/>
        </w:rPr>
        <w:t xml:space="preserve">Главного управления конкурентной</w:t>
      </w:r>
    </w:p>
    <w:p>
      <w:pPr>
        <w:pStyle w:val="0"/>
        <w:jc w:val="right"/>
      </w:pPr>
      <w:r>
        <w:rPr>
          <w:sz w:val="20"/>
        </w:rPr>
        <w:t xml:space="preserve">политики области</w:t>
      </w:r>
    </w:p>
    <w:p>
      <w:pPr>
        <w:pStyle w:val="0"/>
        <w:jc w:val="right"/>
      </w:pPr>
      <w:r>
        <w:rPr>
          <w:sz w:val="20"/>
        </w:rPr>
        <w:t xml:space="preserve">от 26 декабря 2024 г. N 158</w:t>
      </w:r>
    </w:p>
    <w:p>
      <w:pPr>
        <w:pStyle w:val="0"/>
        <w:jc w:val="right"/>
      </w:pPr>
      <w:r>
        <w:rPr>
          <w:sz w:val="20"/>
        </w:rPr>
        <w:t xml:space="preserve">(приложение 2)</w:t>
      </w:r>
    </w:p>
    <w:p>
      <w:pPr>
        <w:pStyle w:val="0"/>
        <w:jc w:val="both"/>
      </w:pPr>
      <w:r>
        <w:rPr>
          <w:sz w:val="20"/>
        </w:rPr>
      </w:r>
    </w:p>
    <w:bookmarkStart w:id="182" w:name="P182"/>
    <w:bookmarkEnd w:id="182"/>
    <w:p>
      <w:pPr>
        <w:pStyle w:val="2"/>
        <w:jc w:val="center"/>
      </w:pPr>
      <w:r>
        <w:rPr>
          <w:sz w:val="20"/>
        </w:rPr>
        <w:t xml:space="preserve">МЕТОДИКА</w:t>
      </w:r>
    </w:p>
    <w:p>
      <w:pPr>
        <w:pStyle w:val="2"/>
        <w:jc w:val="center"/>
      </w:pPr>
      <w:r>
        <w:rPr>
          <w:sz w:val="20"/>
        </w:rPr>
        <w:t xml:space="preserve">ПРОВЕДЕНИЯ МЕРОПРИЯТИЙ ПО ОТБОРУ КАНДИДАТОВ В ЧЛЕНЫ</w:t>
      </w:r>
    </w:p>
    <w:p>
      <w:pPr>
        <w:pStyle w:val="2"/>
        <w:jc w:val="center"/>
      </w:pPr>
      <w:r>
        <w:rPr>
          <w:sz w:val="20"/>
        </w:rPr>
        <w:t xml:space="preserve">ОБЩЕСТВЕННОГО СОВЕТА ПРИ ГЛАВНОМ УПРАВЛЕНИИ</w:t>
      </w:r>
    </w:p>
    <w:p>
      <w:pPr>
        <w:pStyle w:val="2"/>
        <w:jc w:val="center"/>
      </w:pPr>
      <w:r>
        <w:rPr>
          <w:sz w:val="20"/>
        </w:rPr>
        <w:t xml:space="preserve">КОНКУРЕНТНОЙ ПОЛИТИКИ ОБЛАСТИ (ДАЛЕЕ - МЕТОДИКА)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3" w:tooltip="Приказ Главного управления конкурентной политики Вологодской области от 21.05.2025 N 60 &quot;О внесении изменений в приказ Главного управления конкурентной политики области от 26 декабря 2024 года N 158&quot; {КонсультантПлюс}">
              <w:r>
                <w:rPr>
                  <w:sz w:val="20"/>
                  <w:color w:val="0000ff"/>
                </w:rPr>
                <w:t xml:space="preserve">приказа</w:t>
              </w:r>
            </w:hyperlink>
            <w:r>
              <w:rPr>
                <w:sz w:val="20"/>
                <w:color w:val="392c69"/>
              </w:rPr>
              <w:t xml:space="preserve"> Главного управления</w:t>
            </w:r>
          </w:p>
          <w:p>
            <w:pPr>
              <w:pStyle w:val="0"/>
              <w:jc w:val="center"/>
            </w:pPr>
            <w:r>
              <w:rPr>
                <w:sz w:val="20"/>
                <w:color w:val="392c69"/>
              </w:rPr>
              <w:t xml:space="preserve">конкурентной политики Вологодской области</w:t>
            </w:r>
          </w:p>
          <w:p>
            <w:pPr>
              <w:pStyle w:val="0"/>
              <w:jc w:val="center"/>
            </w:pPr>
            <w:r>
              <w:rPr>
                <w:sz w:val="20"/>
                <w:color w:val="392c69"/>
              </w:rPr>
              <w:t xml:space="preserve">от 21.05.2025 N 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Отбор кандидатов в члены общественного совета при Главном управлении конкурентной политики области осуществляется на основе гласности и добровольного участия в деятельности общественного совета.</w:t>
      </w:r>
    </w:p>
    <w:p>
      <w:pPr>
        <w:pStyle w:val="0"/>
        <w:spacing w:before="200" w:lineRule="auto"/>
        <w:ind w:firstLine="540"/>
        <w:jc w:val="both"/>
      </w:pPr>
      <w:r>
        <w:rPr>
          <w:sz w:val="20"/>
        </w:rPr>
        <w:t xml:space="preserve">2. Объявление о начале образования Общественного совета при Главном управлении конкурентной политики области (далее - Общественный совет) размещается на официальном сайте Главного управления конкурентной политики области (далее - Главное управление) в информационно-коммуникационной сети Интернет.</w:t>
      </w:r>
    </w:p>
    <w:p>
      <w:pPr>
        <w:pStyle w:val="0"/>
        <w:spacing w:before="200" w:lineRule="auto"/>
        <w:ind w:firstLine="540"/>
        <w:jc w:val="both"/>
      </w:pPr>
      <w:r>
        <w:rPr>
          <w:sz w:val="20"/>
        </w:rPr>
        <w:t xml:space="preserve">В объявлении указываются:</w:t>
      </w:r>
    </w:p>
    <w:p>
      <w:pPr>
        <w:pStyle w:val="0"/>
        <w:spacing w:before="200" w:lineRule="auto"/>
        <w:ind w:firstLine="540"/>
        <w:jc w:val="both"/>
      </w:pPr>
      <w:r>
        <w:rPr>
          <w:sz w:val="20"/>
        </w:rPr>
        <w:t xml:space="preserve">основание образования Общественного совета;</w:t>
      </w:r>
    </w:p>
    <w:p>
      <w:pPr>
        <w:pStyle w:val="0"/>
        <w:spacing w:before="200" w:lineRule="auto"/>
        <w:ind w:firstLine="540"/>
        <w:jc w:val="both"/>
      </w:pPr>
      <w:r>
        <w:rPr>
          <w:sz w:val="20"/>
        </w:rPr>
        <w:t xml:space="preserve">полное наименование Главного управления;</w:t>
      </w:r>
    </w:p>
    <w:p>
      <w:pPr>
        <w:pStyle w:val="0"/>
        <w:spacing w:before="200" w:lineRule="auto"/>
        <w:ind w:firstLine="540"/>
        <w:jc w:val="both"/>
      </w:pPr>
      <w:r>
        <w:rPr>
          <w:sz w:val="20"/>
        </w:rPr>
        <w:t xml:space="preserve">информация о том, где можно ознакомиться с положением о Главном управлении, а также положением об Общественном совете;</w:t>
      </w:r>
    </w:p>
    <w:p>
      <w:pPr>
        <w:pStyle w:val="0"/>
        <w:spacing w:before="200" w:lineRule="auto"/>
        <w:ind w:firstLine="540"/>
        <w:jc w:val="both"/>
      </w:pPr>
      <w:r>
        <w:rPr>
          <w:sz w:val="20"/>
        </w:rPr>
        <w:t xml:space="preserve">форма направления информации от кандидатов в члены Общественного совета;</w:t>
      </w:r>
    </w:p>
    <w:p>
      <w:pPr>
        <w:pStyle w:val="0"/>
        <w:spacing w:before="200" w:lineRule="auto"/>
        <w:ind w:firstLine="540"/>
        <w:jc w:val="both"/>
      </w:pPr>
      <w:r>
        <w:rPr>
          <w:sz w:val="20"/>
        </w:rPr>
        <w:t xml:space="preserve">сроки и способы направления информации от кандидатов в члены Общественного совета;</w:t>
      </w:r>
    </w:p>
    <w:p>
      <w:pPr>
        <w:pStyle w:val="0"/>
        <w:spacing w:before="200" w:lineRule="auto"/>
        <w:ind w:firstLine="540"/>
        <w:jc w:val="both"/>
      </w:pPr>
      <w:r>
        <w:rPr>
          <w:sz w:val="20"/>
        </w:rPr>
        <w:t xml:space="preserve">место и время приема документов от кандидатов в члены Общественного совета;</w:t>
      </w:r>
    </w:p>
    <w:p>
      <w:pPr>
        <w:pStyle w:val="0"/>
        <w:spacing w:before="200" w:lineRule="auto"/>
        <w:ind w:firstLine="540"/>
        <w:jc w:val="both"/>
      </w:pPr>
      <w:r>
        <w:rPr>
          <w:sz w:val="20"/>
        </w:rPr>
        <w:t xml:space="preserve">предполагаемые дата и место публичных консультаций по кандидатурам в члены Общественного совета;</w:t>
      </w:r>
    </w:p>
    <w:p>
      <w:pPr>
        <w:pStyle w:val="0"/>
        <w:spacing w:before="200" w:lineRule="auto"/>
        <w:ind w:firstLine="540"/>
        <w:jc w:val="both"/>
      </w:pPr>
      <w:r>
        <w:rPr>
          <w:sz w:val="20"/>
        </w:rPr>
        <w:t xml:space="preserve">принятие заявок от институтов гражданского общества на участие в публичных консультациях в качестве экспертов.</w:t>
      </w:r>
    </w:p>
    <w:p>
      <w:pPr>
        <w:pStyle w:val="0"/>
        <w:spacing w:before="200" w:lineRule="auto"/>
        <w:ind w:firstLine="540"/>
        <w:jc w:val="both"/>
      </w:pPr>
      <w:r>
        <w:rPr>
          <w:sz w:val="20"/>
        </w:rPr>
        <w:t xml:space="preserve">3. Кандидаты в члены Общественного совета в течение 15 дней со дня размещения объявления о начале образования Общественного совета направляют в Главное управление </w:t>
      </w:r>
      <w:hyperlink w:history="0" w:anchor="P221" w:tooltip="АНКЕТА &lt;*&gt;">
        <w:r>
          <w:rPr>
            <w:sz w:val="20"/>
            <w:color w:val="0000ff"/>
          </w:rPr>
          <w:t xml:space="preserve">анкеты</w:t>
        </w:r>
      </w:hyperlink>
      <w:r>
        <w:rPr>
          <w:sz w:val="20"/>
        </w:rPr>
        <w:t xml:space="preserve"> по форме согласно приложению 1 к настоящей Методике.</w:t>
      </w:r>
    </w:p>
    <w:p>
      <w:pPr>
        <w:pStyle w:val="0"/>
        <w:spacing w:before="200" w:lineRule="auto"/>
        <w:ind w:firstLine="540"/>
        <w:jc w:val="both"/>
      </w:pPr>
      <w:r>
        <w:rPr>
          <w:sz w:val="20"/>
        </w:rPr>
        <w:t xml:space="preserve">Анкета направляется в электронном виде по адресу: kgz@gz.gov35.ru или на бумажных носителях по адресу: г. Вологда, ул. Козленская, д. 8, каб. 301.</w:t>
      </w:r>
    </w:p>
    <w:p>
      <w:pPr>
        <w:pStyle w:val="0"/>
        <w:spacing w:before="200" w:lineRule="auto"/>
        <w:ind w:firstLine="540"/>
        <w:jc w:val="both"/>
      </w:pPr>
      <w:r>
        <w:rPr>
          <w:sz w:val="20"/>
        </w:rPr>
        <w:t xml:space="preserve">Кандидатам также необходимо представить </w:t>
      </w:r>
      <w:hyperlink w:history="0" w:anchor="P299" w:tooltip="СОГЛАСИЕ">
        <w:r>
          <w:rPr>
            <w:sz w:val="20"/>
            <w:color w:val="0000ff"/>
          </w:rPr>
          <w:t xml:space="preserve">согласие</w:t>
        </w:r>
      </w:hyperlink>
      <w:r>
        <w:rPr>
          <w:sz w:val="20"/>
        </w:rPr>
        <w:t xml:space="preserve"> на обработку своих персональных данных по форме согласно приложению 2 к настоящей Методике.</w:t>
      </w:r>
    </w:p>
    <w:p>
      <w:pPr>
        <w:pStyle w:val="0"/>
        <w:spacing w:before="200" w:lineRule="auto"/>
        <w:ind w:firstLine="540"/>
        <w:jc w:val="both"/>
      </w:pPr>
      <w:r>
        <w:rPr>
          <w:sz w:val="20"/>
        </w:rPr>
        <w:t xml:space="preserve">4. Управлением стратегического развития Главного управления в течение 2 рабочих дней со дня окончания приема анкет формируется предварительный сводный список из кандидатов, в котором отмечаются лица, наиболее соответствующие установленным критериям отбора.</w:t>
      </w:r>
    </w:p>
    <w:p>
      <w:pPr>
        <w:pStyle w:val="0"/>
        <w:spacing w:before="200" w:lineRule="auto"/>
        <w:ind w:firstLine="540"/>
        <w:jc w:val="both"/>
      </w:pPr>
      <w:r>
        <w:rPr>
          <w:sz w:val="20"/>
        </w:rPr>
        <w:t xml:space="preserve">5. Публичные консультации по отбору кандидатов в члены Общественного совета проводятся в течение 3 рабочих дней со дня формирования предварительного сводного списка кандидатов в форме совместного заседания Главного управления и представителей институтов гражданского общества.</w:t>
      </w:r>
    </w:p>
    <w:p>
      <w:pPr>
        <w:pStyle w:val="0"/>
        <w:spacing w:before="200" w:lineRule="auto"/>
        <w:ind w:firstLine="540"/>
        <w:jc w:val="both"/>
      </w:pPr>
      <w:r>
        <w:rPr>
          <w:sz w:val="20"/>
        </w:rPr>
        <w:t xml:space="preserve">6. По итогам публичных консультаций формируются предложения по включению кандидатов в состав Общественного совета, которые в течение 2 дней направляются начальнику Главного управления для принятия соответствующего решения.</w:t>
      </w:r>
    </w:p>
    <w:p>
      <w:pPr>
        <w:pStyle w:val="0"/>
        <w:spacing w:before="200" w:lineRule="auto"/>
        <w:ind w:firstLine="540"/>
        <w:jc w:val="both"/>
      </w:pPr>
      <w:r>
        <w:rPr>
          <w:sz w:val="20"/>
        </w:rPr>
        <w:t xml:space="preserve">7. Не менее чем за месяц до истечения срока полномочий Общественного совета Главное управление инициирует процедуру формирования нового состава Общественного совета.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Методике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4" w:tooltip="Приказ Главного управления конкурентной политики Вологодской области от 21.05.2025 N 60 &quot;О внесении изменений в приказ Главного управления конкурентной политики области от 26 декабря 2024 года N 158&quot; {КонсультантПлюс}">
              <w:r>
                <w:rPr>
                  <w:sz w:val="20"/>
                  <w:color w:val="0000ff"/>
                </w:rPr>
                <w:t xml:space="preserve">приказа</w:t>
              </w:r>
            </w:hyperlink>
            <w:r>
              <w:rPr>
                <w:sz w:val="20"/>
                <w:color w:val="392c69"/>
              </w:rPr>
              <w:t xml:space="preserve"> Главного управления</w:t>
            </w:r>
          </w:p>
          <w:p>
            <w:pPr>
              <w:pStyle w:val="0"/>
              <w:jc w:val="center"/>
            </w:pPr>
            <w:r>
              <w:rPr>
                <w:sz w:val="20"/>
                <w:color w:val="392c69"/>
              </w:rPr>
              <w:t xml:space="preserve">конкурентной политики Вологодской области</w:t>
            </w:r>
          </w:p>
          <w:p>
            <w:pPr>
              <w:pStyle w:val="0"/>
              <w:jc w:val="center"/>
            </w:pPr>
            <w:r>
              <w:rPr>
                <w:sz w:val="20"/>
                <w:color w:val="392c69"/>
              </w:rPr>
              <w:t xml:space="preserve">от 21.05.2025 N 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insideH w:val="single" w:sz="4"/>
        </w:tblBorders>
        <w:tblCellMar>
          <w:top w:w="102" w:type="dxa"/>
          <w:left w:w="62" w:type="dxa"/>
          <w:bottom w:w="102" w:type="dxa"/>
          <w:right w:w="62" w:type="dxa"/>
        </w:tblCellMar>
      </w:tblPr>
      <w:tblGrid>
        <w:gridCol w:w="3061"/>
        <w:gridCol w:w="340"/>
        <w:gridCol w:w="1134"/>
        <w:gridCol w:w="4535"/>
      </w:tblGrid>
      <w:tr>
        <w:tblPrEx>
          <w:tblBorders>
            <w:right w:val="single" w:sz="4"/>
            <w:insideH w:val="nil"/>
          </w:tblBorders>
        </w:tblPrEx>
        <w:tc>
          <w:tcPr>
            <w:gridSpan w:val="3"/>
            <w:tcW w:w="4535" w:type="dxa"/>
            <w:tcBorders>
              <w:top w:val="nil"/>
              <w:left w:val="nil"/>
              <w:bottom w:val="nil"/>
            </w:tcBorders>
          </w:tcPr>
          <w:bookmarkStart w:id="221" w:name="P221"/>
          <w:bookmarkEnd w:id="221"/>
          <w:p>
            <w:pPr>
              <w:pStyle w:val="0"/>
              <w:jc w:val="center"/>
            </w:pPr>
            <w:r>
              <w:rPr>
                <w:sz w:val="20"/>
              </w:rPr>
              <w:t xml:space="preserve">АНКЕТА </w:t>
            </w:r>
            <w:hyperlink w:history="0" w:anchor="P281" w:tooltip="&lt;*&gt; Анкета предоставляется в Главное управление конкурентной политики области по адресу: 160000, г. Вологда, ул. Козленская, д. 8 или по электронной почте kgz@gz.gov35.ru.">
              <w:r>
                <w:rPr>
                  <w:sz w:val="20"/>
                  <w:color w:val="0000ff"/>
                </w:rPr>
                <w:t xml:space="preserve">&lt;*&gt;</w:t>
              </w:r>
            </w:hyperlink>
          </w:p>
          <w:p>
            <w:pPr>
              <w:pStyle w:val="0"/>
              <w:jc w:val="center"/>
            </w:pPr>
            <w:r>
              <w:rPr>
                <w:sz w:val="20"/>
              </w:rPr>
              <w:t xml:space="preserve">(заполняется собственноручно)</w:t>
            </w:r>
          </w:p>
        </w:tc>
        <w:tc>
          <w:tcPr>
            <w:tcW w:w="4535" w:type="dxa"/>
            <w:vMerge w:val="restart"/>
          </w:tcPr>
          <w:p>
            <w:pPr>
              <w:pStyle w:val="0"/>
              <w:jc w:val="center"/>
            </w:pPr>
            <w:r>
              <w:rPr>
                <w:sz w:val="20"/>
              </w:rPr>
              <w:t xml:space="preserve">ФОТО</w:t>
            </w:r>
          </w:p>
        </w:tc>
      </w:tr>
      <w:tr>
        <w:tblPrEx>
          <w:tblBorders>
            <w:right w:val="single" w:sz="4"/>
            <w:insideH w:val="nil"/>
          </w:tblBorders>
        </w:tblPrEx>
        <w:tc>
          <w:tcPr>
            <w:gridSpan w:val="3"/>
            <w:tcW w:w="4535" w:type="dxa"/>
            <w:tcBorders>
              <w:top w:val="nil"/>
              <w:left w:val="nil"/>
              <w:bottom w:val="nil"/>
            </w:tcBorders>
          </w:tcPr>
          <w:p>
            <w:pPr>
              <w:pStyle w:val="0"/>
            </w:pPr>
            <w:r>
              <w:rPr>
                <w:sz w:val="20"/>
              </w:rPr>
              <w:t xml:space="preserve">1. Фамилия</w:t>
            </w:r>
          </w:p>
          <w:p>
            <w:pPr>
              <w:pStyle w:val="0"/>
            </w:pPr>
            <w:r>
              <w:rPr>
                <w:sz w:val="20"/>
              </w:rPr>
              <w:t xml:space="preserve">Имя</w:t>
            </w:r>
          </w:p>
          <w:p>
            <w:pPr>
              <w:pStyle w:val="0"/>
            </w:pPr>
            <w:r>
              <w:rPr>
                <w:sz w:val="20"/>
              </w:rPr>
              <w:t xml:space="preserve">Отчество</w:t>
            </w:r>
          </w:p>
        </w:tc>
        <w:tc>
          <w:tcPr>
            <w:vMerge w:val="continue"/>
          </w:tcPr>
          <w:p/>
        </w:tc>
      </w:tr>
      <w:tr>
        <w:tblPrEx>
          <w:tblBorders>
            <w:insideV w:val="nil"/>
          </w:tblBorders>
        </w:tblPrEx>
        <w:tc>
          <w:tcPr>
            <w:gridSpan w:val="3"/>
            <w:tcW w:w="4535" w:type="dxa"/>
            <w:tcBorders>
              <w:top w:val="nil"/>
            </w:tcBorders>
          </w:tcPr>
          <w:p>
            <w:pPr>
              <w:pStyle w:val="0"/>
            </w:pPr>
            <w:r>
              <w:rPr>
                <w:sz w:val="20"/>
              </w:rPr>
            </w:r>
          </w:p>
        </w:tc>
        <w:tc>
          <w:tcPr>
            <w:tcW w:w="4535" w:type="dxa"/>
          </w:tcPr>
          <w:p>
            <w:pPr>
              <w:pStyle w:val="0"/>
            </w:pPr>
            <w:r>
              <w:rPr>
                <w:sz w:val="20"/>
              </w:rPr>
            </w:r>
          </w:p>
        </w:tc>
      </w:tr>
      <w:tr>
        <w:tblPrEx>
          <w:tblBorders>
            <w:left w:val="single" w:sz="4"/>
            <w:right w:val="single" w:sz="4"/>
          </w:tblBorders>
        </w:tblPrEx>
        <w:tc>
          <w:tcPr>
            <w:gridSpan w:val="3"/>
            <w:tcW w:w="4535" w:type="dxa"/>
          </w:tcPr>
          <w:p>
            <w:pPr>
              <w:pStyle w:val="0"/>
            </w:pPr>
            <w:r>
              <w:rPr>
                <w:sz w:val="20"/>
              </w:rPr>
              <w:t xml:space="preserve">2. Число, месяц, год рождения</w:t>
            </w:r>
          </w:p>
        </w:tc>
        <w:tc>
          <w:tcPr>
            <w:tcW w:w="4535" w:type="dxa"/>
          </w:tcPr>
          <w:p>
            <w:pPr>
              <w:pStyle w:val="0"/>
            </w:pPr>
            <w:r>
              <w:rPr>
                <w:sz w:val="20"/>
              </w:rPr>
            </w:r>
          </w:p>
        </w:tc>
      </w:tr>
      <w:tr>
        <w:tblPrEx>
          <w:tblBorders>
            <w:left w:val="single" w:sz="4"/>
            <w:right w:val="single" w:sz="4"/>
          </w:tblBorders>
        </w:tblPrEx>
        <w:tc>
          <w:tcPr>
            <w:gridSpan w:val="3"/>
            <w:tcW w:w="4535" w:type="dxa"/>
          </w:tcPr>
          <w:p>
            <w:pPr>
              <w:pStyle w:val="0"/>
            </w:pPr>
            <w:r>
              <w:rPr>
                <w:sz w:val="20"/>
              </w:rPr>
              <w:t xml:space="preserve">3. Гражданство</w:t>
            </w:r>
          </w:p>
        </w:tc>
        <w:tc>
          <w:tcPr>
            <w:tcW w:w="4535" w:type="dxa"/>
          </w:tcPr>
          <w:p>
            <w:pPr>
              <w:pStyle w:val="0"/>
            </w:pPr>
            <w:r>
              <w:rPr>
                <w:sz w:val="20"/>
              </w:rPr>
            </w:r>
          </w:p>
        </w:tc>
      </w:tr>
      <w:tr>
        <w:tblPrEx>
          <w:tblBorders>
            <w:left w:val="single" w:sz="4"/>
            <w:right w:val="single" w:sz="4"/>
            <w:insideH w:val="nil"/>
          </w:tblBorders>
        </w:tblPrEx>
        <w:tc>
          <w:tcPr>
            <w:gridSpan w:val="3"/>
            <w:tcW w:w="4535" w:type="dxa"/>
            <w:tcBorders>
              <w:bottom w:val="nil"/>
            </w:tcBorders>
          </w:tcPr>
          <w:p>
            <w:pPr>
              <w:pStyle w:val="0"/>
            </w:pPr>
            <w:r>
              <w:rPr>
                <w:sz w:val="20"/>
              </w:rPr>
              <w:t xml:space="preserve">4. Образование (когда и какие учебные заведения окончили)</w:t>
            </w:r>
          </w:p>
        </w:tc>
        <w:tc>
          <w:tcPr>
            <w:tcW w:w="4535" w:type="dxa"/>
            <w:tcBorders>
              <w:bottom w:val="nil"/>
            </w:tcBorders>
          </w:tcPr>
          <w:p>
            <w:pPr>
              <w:pStyle w:val="0"/>
            </w:pPr>
            <w:r>
              <w:rPr>
                <w:sz w:val="20"/>
              </w:rPr>
            </w:r>
          </w:p>
        </w:tc>
      </w:tr>
      <w:tr>
        <w:tblPrEx>
          <w:tblBorders>
            <w:left w:val="single" w:sz="4"/>
            <w:right w:val="single" w:sz="4"/>
            <w:insideH w:val="nil"/>
          </w:tblBorders>
        </w:tblPrEx>
        <w:tc>
          <w:tcPr>
            <w:gridSpan w:val="3"/>
            <w:tcW w:w="4535" w:type="dxa"/>
            <w:tcBorders>
              <w:top w:val="nil"/>
              <w:bottom w:val="nil"/>
            </w:tcBorders>
          </w:tcPr>
          <w:p>
            <w:pPr>
              <w:pStyle w:val="0"/>
            </w:pPr>
            <w:r>
              <w:rPr>
                <w:sz w:val="20"/>
              </w:rPr>
            </w:r>
          </w:p>
        </w:tc>
        <w:tc>
          <w:tcPr>
            <w:tcW w:w="4535" w:type="dxa"/>
            <w:tcBorders>
              <w:top w:val="nil"/>
              <w:bottom w:val="nil"/>
            </w:tcBorders>
          </w:tcPr>
          <w:p>
            <w:pPr>
              <w:pStyle w:val="0"/>
            </w:pPr>
            <w:r>
              <w:rPr>
                <w:sz w:val="20"/>
              </w:rPr>
            </w:r>
          </w:p>
        </w:tc>
      </w:tr>
      <w:tr>
        <w:tblPrEx>
          <w:tblBorders>
            <w:left w:val="single" w:sz="4"/>
            <w:right w:val="single" w:sz="4"/>
            <w:insideH w:val="nil"/>
          </w:tblBorders>
        </w:tblPrEx>
        <w:tc>
          <w:tcPr>
            <w:gridSpan w:val="3"/>
            <w:tcW w:w="4535" w:type="dxa"/>
            <w:tcBorders>
              <w:top w:val="nil"/>
              <w:bottom w:val="nil"/>
            </w:tcBorders>
          </w:tcPr>
          <w:p>
            <w:pPr>
              <w:pStyle w:val="0"/>
            </w:pPr>
            <w:r>
              <w:rPr>
                <w:sz w:val="20"/>
              </w:rPr>
              <w:t xml:space="preserve">Направление подготовки или специальность по диплому</w:t>
            </w:r>
          </w:p>
        </w:tc>
        <w:tc>
          <w:tcPr>
            <w:tcW w:w="4535" w:type="dxa"/>
            <w:tcBorders>
              <w:top w:val="nil"/>
              <w:bottom w:val="nil"/>
            </w:tcBorders>
          </w:tcPr>
          <w:p>
            <w:pPr>
              <w:pStyle w:val="0"/>
            </w:pPr>
            <w:r>
              <w:rPr>
                <w:sz w:val="20"/>
              </w:rPr>
            </w:r>
          </w:p>
        </w:tc>
      </w:tr>
      <w:tr>
        <w:tblPrEx>
          <w:tblBorders>
            <w:left w:val="single" w:sz="4"/>
            <w:right w:val="single" w:sz="4"/>
            <w:insideH w:val="nil"/>
          </w:tblBorders>
        </w:tblPrEx>
        <w:tc>
          <w:tcPr>
            <w:gridSpan w:val="3"/>
            <w:tcW w:w="4535" w:type="dxa"/>
            <w:tcBorders>
              <w:top w:val="nil"/>
              <w:bottom w:val="nil"/>
            </w:tcBorders>
          </w:tcPr>
          <w:p>
            <w:pPr>
              <w:pStyle w:val="0"/>
            </w:pPr>
            <w:r>
              <w:rPr>
                <w:sz w:val="20"/>
              </w:rPr>
            </w:r>
          </w:p>
        </w:tc>
        <w:tc>
          <w:tcPr>
            <w:tcW w:w="4535" w:type="dxa"/>
            <w:tcBorders>
              <w:top w:val="nil"/>
              <w:bottom w:val="nil"/>
            </w:tcBorders>
          </w:tcPr>
          <w:p>
            <w:pPr>
              <w:pStyle w:val="0"/>
            </w:pPr>
            <w:r>
              <w:rPr>
                <w:sz w:val="20"/>
              </w:rPr>
            </w:r>
          </w:p>
        </w:tc>
      </w:tr>
      <w:tr>
        <w:tblPrEx>
          <w:tblBorders>
            <w:left w:val="single" w:sz="4"/>
            <w:right w:val="single" w:sz="4"/>
            <w:insideH w:val="nil"/>
          </w:tblBorders>
        </w:tblPrEx>
        <w:tc>
          <w:tcPr>
            <w:gridSpan w:val="3"/>
            <w:tcW w:w="4535" w:type="dxa"/>
            <w:tcBorders>
              <w:top w:val="nil"/>
            </w:tcBorders>
          </w:tcPr>
          <w:p>
            <w:pPr>
              <w:pStyle w:val="0"/>
              <w:jc w:val="both"/>
            </w:pPr>
            <w:r>
              <w:rPr>
                <w:sz w:val="20"/>
              </w:rPr>
              <w:t xml:space="preserve">Квалификация по диплому</w:t>
            </w:r>
          </w:p>
        </w:tc>
        <w:tc>
          <w:tcPr>
            <w:tcW w:w="4535" w:type="dxa"/>
            <w:tcBorders>
              <w:top w:val="nil"/>
            </w:tcBorders>
          </w:tcPr>
          <w:p>
            <w:pPr>
              <w:pStyle w:val="0"/>
            </w:pPr>
            <w:r>
              <w:rPr>
                <w:sz w:val="20"/>
              </w:rPr>
            </w:r>
          </w:p>
        </w:tc>
      </w:tr>
      <w:tr>
        <w:tblPrEx>
          <w:tblBorders>
            <w:left w:val="single" w:sz="4"/>
            <w:right w:val="single" w:sz="4"/>
            <w:insideH w:val="nil"/>
          </w:tblBorders>
        </w:tblPrEx>
        <w:tc>
          <w:tcPr>
            <w:gridSpan w:val="3"/>
            <w:tcW w:w="4535" w:type="dxa"/>
            <w:tcBorders>
              <w:bottom w:val="nil"/>
            </w:tcBorders>
          </w:tcPr>
          <w:p>
            <w:pPr>
              <w:pStyle w:val="0"/>
            </w:pPr>
            <w:r>
              <w:rPr>
                <w:sz w:val="20"/>
              </w:rPr>
              <w:t xml:space="preserve">5.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tc>
        <w:tc>
          <w:tcPr>
            <w:tcW w:w="4535" w:type="dxa"/>
            <w:tcBorders>
              <w:bottom w:val="nil"/>
            </w:tcBorders>
          </w:tcPr>
          <w:p>
            <w:pPr>
              <w:pStyle w:val="0"/>
            </w:pPr>
            <w:r>
              <w:rPr>
                <w:sz w:val="20"/>
              </w:rPr>
            </w:r>
          </w:p>
        </w:tc>
      </w:tr>
      <w:tr>
        <w:tblPrEx>
          <w:tblBorders>
            <w:left w:val="single" w:sz="4"/>
            <w:right w:val="single" w:sz="4"/>
            <w:insideH w:val="nil"/>
          </w:tblBorders>
        </w:tblPrEx>
        <w:tc>
          <w:tcPr>
            <w:gridSpan w:val="3"/>
            <w:tcW w:w="4535" w:type="dxa"/>
            <w:tcBorders>
              <w:top w:val="nil"/>
              <w:bottom w:val="nil"/>
            </w:tcBorders>
          </w:tcPr>
          <w:p>
            <w:pPr>
              <w:pStyle w:val="0"/>
            </w:pPr>
            <w:r>
              <w:rPr>
                <w:sz w:val="20"/>
              </w:rPr>
            </w:r>
          </w:p>
        </w:tc>
        <w:tc>
          <w:tcPr>
            <w:tcW w:w="4535" w:type="dxa"/>
            <w:tcBorders>
              <w:top w:val="nil"/>
              <w:bottom w:val="nil"/>
            </w:tcBorders>
          </w:tcPr>
          <w:p>
            <w:pPr>
              <w:pStyle w:val="0"/>
            </w:pPr>
            <w:r>
              <w:rPr>
                <w:sz w:val="20"/>
              </w:rPr>
            </w:r>
          </w:p>
        </w:tc>
      </w:tr>
      <w:tr>
        <w:tblPrEx>
          <w:tblBorders>
            <w:left w:val="single" w:sz="4"/>
            <w:right w:val="single" w:sz="4"/>
            <w:insideH w:val="nil"/>
          </w:tblBorders>
        </w:tblPrEx>
        <w:tc>
          <w:tcPr>
            <w:gridSpan w:val="3"/>
            <w:tcW w:w="4535" w:type="dxa"/>
            <w:tcBorders>
              <w:top w:val="nil"/>
            </w:tcBorders>
          </w:tcPr>
          <w:p>
            <w:pPr>
              <w:pStyle w:val="0"/>
            </w:pPr>
            <w:r>
              <w:rPr>
                <w:sz w:val="20"/>
              </w:rPr>
              <w:t xml:space="preserve">Ученая степень, ученое звание (когда присвоены)</w:t>
            </w:r>
          </w:p>
        </w:tc>
        <w:tc>
          <w:tcPr>
            <w:tcW w:w="4535" w:type="dxa"/>
            <w:tcBorders>
              <w:top w:val="nil"/>
            </w:tcBorders>
          </w:tcPr>
          <w:p>
            <w:pPr>
              <w:pStyle w:val="0"/>
            </w:pPr>
            <w:r>
              <w:rPr>
                <w:sz w:val="20"/>
              </w:rPr>
            </w:r>
          </w:p>
        </w:tc>
      </w:tr>
      <w:tr>
        <w:tblPrEx>
          <w:tblBorders>
            <w:insideH w:val="nil"/>
          </w:tblBorders>
        </w:tblPrEx>
        <w:tc>
          <w:tcPr>
            <w:gridSpan w:val="4"/>
            <w:tcW w:w="9070" w:type="dxa"/>
            <w:tcBorders>
              <w:left w:val="nil"/>
              <w:bottom w:val="nil"/>
              <w:right w:val="nil"/>
            </w:tcBorders>
          </w:tcPr>
          <w:p>
            <w:pPr>
              <w:pStyle w:val="0"/>
            </w:pPr>
            <w:r>
              <w:rPr>
                <w:sz w:val="20"/>
              </w:rPr>
            </w:r>
          </w:p>
        </w:tc>
      </w:tr>
      <w:tr>
        <w:tblPrEx>
          <w:tblBorders>
            <w:insideH w:val="nil"/>
          </w:tblBorders>
        </w:tblPrEx>
        <w:tc>
          <w:tcPr>
            <w:gridSpan w:val="4"/>
            <w:tcW w:w="9070" w:type="dxa"/>
            <w:tcBorders>
              <w:top w:val="nil"/>
              <w:left w:val="nil"/>
              <w:bottom w:val="nil"/>
              <w:right w:val="nil"/>
            </w:tcBorders>
          </w:tcPr>
          <w:p>
            <w:pPr>
              <w:pStyle w:val="0"/>
            </w:pPr>
            <w:r>
              <w:rPr>
                <w:sz w:val="20"/>
              </w:rPr>
              <w:t xml:space="preserve">6. Место работы, занимаемая должность _______________________________________</w:t>
            </w:r>
          </w:p>
          <w:p>
            <w:pPr>
              <w:pStyle w:val="0"/>
            </w:pPr>
            <w:r>
              <w:rPr>
                <w:sz w:val="20"/>
              </w:rPr>
              <w:t xml:space="preserve">__________________________________________________________________________</w:t>
            </w:r>
          </w:p>
        </w:tc>
      </w:tr>
      <w:tr>
        <w:tblPrEx>
          <w:tblBorders>
            <w:insideH w:val="nil"/>
          </w:tblBorders>
        </w:tblPrEx>
        <w:tc>
          <w:tcPr>
            <w:gridSpan w:val="4"/>
            <w:tcW w:w="9070" w:type="dxa"/>
            <w:tcBorders>
              <w:top w:val="nil"/>
              <w:left w:val="nil"/>
              <w:bottom w:val="nil"/>
              <w:right w:val="nil"/>
            </w:tcBorders>
          </w:tcPr>
          <w:p>
            <w:pPr>
              <w:pStyle w:val="0"/>
            </w:pPr>
            <w:r>
              <w:rPr>
                <w:sz w:val="20"/>
              </w:rPr>
            </w:r>
          </w:p>
        </w:tc>
      </w:tr>
      <w:tr>
        <w:tblPrEx>
          <w:tblBorders>
            <w:insideH w:val="nil"/>
          </w:tblBorders>
        </w:tblPrEx>
        <w:tc>
          <w:tcPr>
            <w:gridSpan w:val="4"/>
            <w:tcW w:w="9070" w:type="dxa"/>
            <w:tcBorders>
              <w:top w:val="nil"/>
              <w:left w:val="nil"/>
              <w:bottom w:val="nil"/>
              <w:right w:val="nil"/>
            </w:tcBorders>
          </w:tcPr>
          <w:p>
            <w:pPr>
              <w:pStyle w:val="0"/>
            </w:pPr>
            <w:r>
              <w:rPr>
                <w:sz w:val="20"/>
              </w:rPr>
              <w:t xml:space="preserve">7. Государственные награды, иные награды и знаки отличия</w:t>
            </w:r>
          </w:p>
        </w:tc>
      </w:tr>
      <w:tr>
        <w:tblPrEx>
          <w:tblBorders>
            <w:insideH w:val="nil"/>
          </w:tblBorders>
        </w:tblPrEx>
        <w:tc>
          <w:tcPr>
            <w:gridSpan w:val="4"/>
            <w:tcW w:w="9070" w:type="dxa"/>
            <w:tcBorders>
              <w:top w:val="nil"/>
              <w:left w:val="nil"/>
              <w:right w:val="nil"/>
            </w:tcBorders>
          </w:tcPr>
          <w:p>
            <w:pPr>
              <w:pStyle w:val="0"/>
            </w:pPr>
            <w:r>
              <w:rPr>
                <w:sz w:val="20"/>
              </w:rPr>
            </w:r>
          </w:p>
        </w:tc>
      </w:tr>
      <w:tr>
        <w:tc>
          <w:tcPr>
            <w:gridSpan w:val="4"/>
            <w:tcW w:w="9070" w:type="dxa"/>
            <w:tcBorders>
              <w:left w:val="nil"/>
              <w:right w:val="nil"/>
            </w:tcBorders>
          </w:tcPr>
          <w:p>
            <w:pPr>
              <w:pStyle w:val="0"/>
            </w:pPr>
            <w:r>
              <w:rPr>
                <w:sz w:val="20"/>
              </w:rPr>
            </w:r>
          </w:p>
        </w:tc>
      </w:tr>
      <w:tr>
        <w:tblPrEx>
          <w:tblBorders>
            <w:insideH w:val="nil"/>
          </w:tblBorders>
        </w:tblPrEx>
        <w:tc>
          <w:tcPr>
            <w:gridSpan w:val="4"/>
            <w:tcW w:w="9070" w:type="dxa"/>
            <w:tcBorders>
              <w:left w:val="nil"/>
              <w:bottom w:val="nil"/>
              <w:right w:val="nil"/>
            </w:tcBorders>
          </w:tcPr>
          <w:p>
            <w:pPr>
              <w:pStyle w:val="0"/>
            </w:pPr>
            <w:r>
              <w:rPr>
                <w:sz w:val="20"/>
              </w:rPr>
              <w:t xml:space="preserve">8. Ваши основные профессиональные достижения за последние три года</w:t>
            </w:r>
          </w:p>
        </w:tc>
      </w:tr>
      <w:tr>
        <w:tblPrEx>
          <w:tblBorders>
            <w:insideH w:val="nil"/>
          </w:tblBorders>
        </w:tblPrEx>
        <w:tc>
          <w:tcPr>
            <w:gridSpan w:val="4"/>
            <w:tcW w:w="9070" w:type="dxa"/>
            <w:tcBorders>
              <w:top w:val="nil"/>
              <w:left w:val="nil"/>
              <w:right w:val="nil"/>
            </w:tcBorders>
          </w:tcPr>
          <w:p>
            <w:pPr>
              <w:pStyle w:val="0"/>
            </w:pPr>
            <w:r>
              <w:rPr>
                <w:sz w:val="20"/>
              </w:rPr>
            </w:r>
          </w:p>
        </w:tc>
      </w:tr>
      <w:tr>
        <w:tc>
          <w:tcPr>
            <w:gridSpan w:val="4"/>
            <w:tcW w:w="9070" w:type="dxa"/>
            <w:tcBorders>
              <w:left w:val="nil"/>
              <w:right w:val="nil"/>
            </w:tcBorders>
          </w:tcPr>
          <w:p>
            <w:pPr>
              <w:pStyle w:val="0"/>
            </w:pPr>
            <w:r>
              <w:rPr>
                <w:sz w:val="20"/>
              </w:rPr>
            </w:r>
          </w:p>
        </w:tc>
      </w:tr>
      <w:tr>
        <w:tc>
          <w:tcPr>
            <w:gridSpan w:val="4"/>
            <w:tcW w:w="9070" w:type="dxa"/>
            <w:tcBorders>
              <w:left w:val="nil"/>
              <w:right w:val="nil"/>
            </w:tcBorders>
          </w:tcPr>
          <w:p>
            <w:pPr>
              <w:pStyle w:val="0"/>
            </w:pPr>
            <w:r>
              <w:rPr>
                <w:sz w:val="20"/>
              </w:rPr>
            </w:r>
          </w:p>
        </w:tc>
      </w:tr>
      <w:tr>
        <w:tblPrEx>
          <w:tblBorders>
            <w:insideH w:val="nil"/>
          </w:tblBorders>
        </w:tblPrEx>
        <w:tc>
          <w:tcPr>
            <w:gridSpan w:val="4"/>
            <w:tcW w:w="9070" w:type="dxa"/>
            <w:tcBorders>
              <w:left w:val="nil"/>
              <w:bottom w:val="nil"/>
              <w:right w:val="nil"/>
            </w:tcBorders>
          </w:tcPr>
          <w:p>
            <w:pPr>
              <w:pStyle w:val="0"/>
            </w:pPr>
            <w:r>
              <w:rPr>
                <w:sz w:val="20"/>
              </w:rPr>
              <w:t xml:space="preserve">9. Опыт участия в общественной работе (участие в качестве эксперта, разработчика нормативных правовых актов и т.п.)</w:t>
            </w:r>
          </w:p>
        </w:tc>
      </w:tr>
      <w:tr>
        <w:tblPrEx>
          <w:tblBorders>
            <w:insideH w:val="nil"/>
          </w:tblBorders>
        </w:tblPrEx>
        <w:tc>
          <w:tcPr>
            <w:gridSpan w:val="4"/>
            <w:tcW w:w="9070" w:type="dxa"/>
            <w:tcBorders>
              <w:top w:val="nil"/>
              <w:left w:val="nil"/>
              <w:right w:val="nil"/>
            </w:tcBorders>
          </w:tcPr>
          <w:p>
            <w:pPr>
              <w:pStyle w:val="0"/>
            </w:pPr>
            <w:r>
              <w:rPr>
                <w:sz w:val="20"/>
              </w:rPr>
            </w:r>
          </w:p>
        </w:tc>
      </w:tr>
      <w:tr>
        <w:tc>
          <w:tcPr>
            <w:gridSpan w:val="4"/>
            <w:tcW w:w="9070" w:type="dxa"/>
            <w:tcBorders>
              <w:left w:val="nil"/>
              <w:right w:val="nil"/>
            </w:tcBorders>
          </w:tcPr>
          <w:p>
            <w:pPr>
              <w:pStyle w:val="0"/>
            </w:pPr>
            <w:r>
              <w:rPr>
                <w:sz w:val="20"/>
              </w:rPr>
            </w:r>
          </w:p>
        </w:tc>
      </w:tr>
      <w:tr>
        <w:tc>
          <w:tcPr>
            <w:gridSpan w:val="4"/>
            <w:tcW w:w="9070" w:type="dxa"/>
            <w:tcBorders>
              <w:left w:val="nil"/>
              <w:right w:val="nil"/>
            </w:tcBorders>
          </w:tcPr>
          <w:p>
            <w:pPr>
              <w:pStyle w:val="0"/>
            </w:pPr>
            <w:r>
              <w:rPr>
                <w:sz w:val="20"/>
              </w:rPr>
            </w:r>
          </w:p>
        </w:tc>
      </w:tr>
      <w:tr>
        <w:tc>
          <w:tcPr>
            <w:gridSpan w:val="4"/>
            <w:tcW w:w="9070" w:type="dxa"/>
            <w:tcBorders>
              <w:left w:val="nil"/>
              <w:right w:val="nil"/>
            </w:tcBorders>
          </w:tcPr>
          <w:p>
            <w:pPr>
              <w:pStyle w:val="0"/>
            </w:pPr>
            <w:r>
              <w:rPr>
                <w:sz w:val="20"/>
              </w:rPr>
            </w:r>
          </w:p>
        </w:tc>
      </w:tr>
      <w:tr>
        <w:tblPrEx>
          <w:tblBorders>
            <w:insideH w:val="nil"/>
          </w:tblBorders>
        </w:tblPrEx>
        <w:tc>
          <w:tcPr>
            <w:gridSpan w:val="4"/>
            <w:tcW w:w="9070" w:type="dxa"/>
            <w:tcBorders>
              <w:left w:val="nil"/>
              <w:bottom w:val="nil"/>
              <w:right w:val="nil"/>
            </w:tcBorders>
          </w:tcPr>
          <w:p>
            <w:pPr>
              <w:pStyle w:val="0"/>
            </w:pPr>
            <w:r>
              <w:rPr>
                <w:sz w:val="20"/>
              </w:rPr>
              <w:t xml:space="preserve">10. Чего бы Вы хотели добиться, участвуя в работе Общественного совета:</w:t>
            </w:r>
          </w:p>
        </w:tc>
      </w:tr>
      <w:tr>
        <w:tblPrEx>
          <w:tblBorders>
            <w:insideH w:val="nil"/>
          </w:tblBorders>
        </w:tblPrEx>
        <w:tc>
          <w:tcPr>
            <w:gridSpan w:val="4"/>
            <w:tcW w:w="9070" w:type="dxa"/>
            <w:tcBorders>
              <w:top w:val="nil"/>
              <w:left w:val="nil"/>
              <w:right w:val="nil"/>
            </w:tcBorders>
          </w:tcPr>
          <w:p>
            <w:pPr>
              <w:pStyle w:val="0"/>
            </w:pPr>
            <w:r>
              <w:rPr>
                <w:sz w:val="20"/>
              </w:rPr>
            </w:r>
          </w:p>
        </w:tc>
      </w:tr>
      <w:tr>
        <w:tc>
          <w:tcPr>
            <w:gridSpan w:val="4"/>
            <w:tcW w:w="9070" w:type="dxa"/>
            <w:tcBorders>
              <w:left w:val="nil"/>
              <w:right w:val="nil"/>
            </w:tcBorders>
          </w:tcPr>
          <w:p>
            <w:pPr>
              <w:pStyle w:val="0"/>
            </w:pPr>
            <w:r>
              <w:rPr>
                <w:sz w:val="20"/>
              </w:rPr>
            </w:r>
          </w:p>
        </w:tc>
      </w:tr>
      <w:tr>
        <w:tc>
          <w:tcPr>
            <w:gridSpan w:val="4"/>
            <w:tcW w:w="9070" w:type="dxa"/>
            <w:tcBorders>
              <w:left w:val="nil"/>
              <w:right w:val="nil"/>
            </w:tcBorders>
          </w:tcPr>
          <w:p>
            <w:pPr>
              <w:pStyle w:val="0"/>
            </w:pPr>
            <w:r>
              <w:rPr>
                <w:sz w:val="20"/>
              </w:rPr>
            </w:r>
          </w:p>
        </w:tc>
      </w:tr>
      <w:tr>
        <w:tblPrEx>
          <w:tblBorders>
            <w:insideH w:val="nil"/>
          </w:tblBorders>
        </w:tblPrEx>
        <w:tc>
          <w:tcPr>
            <w:gridSpan w:val="4"/>
            <w:tcW w:w="9070" w:type="dxa"/>
            <w:tcBorders>
              <w:left w:val="nil"/>
              <w:bottom w:val="nil"/>
              <w:right w:val="nil"/>
            </w:tcBorders>
          </w:tcPr>
          <w:p>
            <w:pPr>
              <w:pStyle w:val="0"/>
            </w:pPr>
            <w:r>
              <w:rPr>
                <w:sz w:val="20"/>
              </w:rPr>
              <w:t xml:space="preserve">11. Домашний адрес (адрес регистрации, фактического проживания), номер телефона (либо иной вид связи), е-mail:</w:t>
            </w:r>
          </w:p>
        </w:tc>
      </w:tr>
      <w:tr>
        <w:tblPrEx>
          <w:tblBorders>
            <w:insideH w:val="nil"/>
          </w:tblBorders>
        </w:tblPrEx>
        <w:tc>
          <w:tcPr>
            <w:gridSpan w:val="4"/>
            <w:tcW w:w="9070" w:type="dxa"/>
            <w:tcBorders>
              <w:top w:val="nil"/>
              <w:left w:val="nil"/>
              <w:right w:val="nil"/>
            </w:tcBorders>
          </w:tcPr>
          <w:p>
            <w:pPr>
              <w:pStyle w:val="0"/>
            </w:pPr>
            <w:r>
              <w:rPr>
                <w:sz w:val="20"/>
              </w:rPr>
            </w:r>
          </w:p>
        </w:tc>
      </w:tr>
      <w:tr>
        <w:tc>
          <w:tcPr>
            <w:gridSpan w:val="4"/>
            <w:tcW w:w="9070" w:type="dxa"/>
            <w:tcBorders>
              <w:left w:val="nil"/>
              <w:right w:val="nil"/>
            </w:tcBorders>
          </w:tcPr>
          <w:p>
            <w:pPr>
              <w:pStyle w:val="0"/>
            </w:pPr>
            <w:r>
              <w:rPr>
                <w:sz w:val="20"/>
              </w:rPr>
            </w:r>
          </w:p>
        </w:tc>
      </w:tr>
      <w:tr>
        <w:tc>
          <w:tcPr>
            <w:gridSpan w:val="4"/>
            <w:tcW w:w="9070" w:type="dxa"/>
            <w:tcBorders>
              <w:left w:val="nil"/>
              <w:right w:val="nil"/>
            </w:tcBorders>
          </w:tcPr>
          <w:p>
            <w:pPr>
              <w:pStyle w:val="0"/>
            </w:pPr>
            <w:r>
              <w:rPr>
                <w:sz w:val="20"/>
              </w:rPr>
            </w:r>
          </w:p>
        </w:tc>
      </w:tr>
      <w:tr>
        <w:tblPrEx>
          <w:tblBorders>
            <w:insideH w:val="nil"/>
          </w:tblBorders>
        </w:tblPrEx>
        <w:tc>
          <w:tcPr>
            <w:gridSpan w:val="4"/>
            <w:tcW w:w="9070" w:type="dxa"/>
            <w:tcBorders>
              <w:left w:val="nil"/>
              <w:bottom w:val="nil"/>
              <w:right w:val="nil"/>
            </w:tcBorders>
          </w:tcPr>
          <w:p>
            <w:pPr>
              <w:pStyle w:val="0"/>
            </w:pPr>
            <w:r>
              <w:rPr>
                <w:sz w:val="20"/>
              </w:rPr>
              <w:t xml:space="preserve">12. Дополнительные сведения</w:t>
            </w:r>
          </w:p>
        </w:tc>
      </w:tr>
      <w:tr>
        <w:tblPrEx>
          <w:tblBorders>
            <w:insideH w:val="nil"/>
          </w:tblBorders>
        </w:tblPrEx>
        <w:tc>
          <w:tcPr>
            <w:gridSpan w:val="4"/>
            <w:tcW w:w="9070" w:type="dxa"/>
            <w:tcBorders>
              <w:top w:val="nil"/>
              <w:left w:val="nil"/>
              <w:right w:val="nil"/>
            </w:tcBorders>
          </w:tcPr>
          <w:p>
            <w:pPr>
              <w:pStyle w:val="0"/>
            </w:pPr>
            <w:r>
              <w:rPr>
                <w:sz w:val="20"/>
              </w:rPr>
            </w:r>
          </w:p>
        </w:tc>
      </w:tr>
      <w:tr>
        <w:tc>
          <w:tcPr>
            <w:gridSpan w:val="4"/>
            <w:tcW w:w="9070" w:type="dxa"/>
            <w:tcBorders>
              <w:left w:val="nil"/>
              <w:right w:val="nil"/>
            </w:tcBorders>
          </w:tcPr>
          <w:p>
            <w:pPr>
              <w:pStyle w:val="0"/>
            </w:pPr>
            <w:r>
              <w:rPr>
                <w:sz w:val="20"/>
              </w:rPr>
            </w:r>
          </w:p>
        </w:tc>
      </w:tr>
      <w:tr>
        <w:tblPrEx>
          <w:tblBorders>
            <w:insideH w:val="nil"/>
          </w:tblBorders>
        </w:tblPrEx>
        <w:tc>
          <w:tcPr>
            <w:gridSpan w:val="4"/>
            <w:tcW w:w="9070" w:type="dxa"/>
            <w:tcBorders>
              <w:left w:val="nil"/>
              <w:bottom w:val="nil"/>
              <w:right w:val="nil"/>
            </w:tcBorders>
          </w:tcPr>
          <w:p>
            <w:pPr>
              <w:pStyle w:val="0"/>
            </w:pPr>
            <w:r>
              <w:rPr>
                <w:sz w:val="20"/>
              </w:rPr>
            </w:r>
          </w:p>
        </w:tc>
      </w:tr>
      <w:tr>
        <w:tblPrEx>
          <w:tblBorders>
            <w:insideV w:val="nil"/>
            <w:insideH w:val="nil"/>
          </w:tblBorders>
        </w:tblPrEx>
        <w:tc>
          <w:tcPr>
            <w:tcW w:w="3061" w:type="dxa"/>
            <w:tcBorders>
              <w:top w:val="nil"/>
              <w:bottom w:val="nil"/>
            </w:tcBorders>
          </w:tcPr>
          <w:p>
            <w:pPr>
              <w:pStyle w:val="0"/>
              <w:jc w:val="both"/>
            </w:pPr>
            <w:r>
              <w:rPr>
                <w:sz w:val="20"/>
              </w:rPr>
              <w:t xml:space="preserve">"__"___________ 20__ г.</w:t>
            </w:r>
          </w:p>
        </w:tc>
        <w:tc>
          <w:tcPr>
            <w:tcW w:w="340" w:type="dxa"/>
            <w:tcBorders>
              <w:top w:val="nil"/>
              <w:bottom w:val="nil"/>
            </w:tcBorders>
          </w:tcPr>
          <w:p>
            <w:pPr>
              <w:pStyle w:val="0"/>
            </w:pPr>
            <w:r>
              <w:rPr>
                <w:sz w:val="20"/>
              </w:rPr>
            </w:r>
          </w:p>
        </w:tc>
        <w:tc>
          <w:tcPr>
            <w:gridSpan w:val="2"/>
            <w:tcW w:w="5669" w:type="dxa"/>
            <w:tcBorders>
              <w:top w:val="nil"/>
              <w:bottom w:val="nil"/>
            </w:tcBorders>
          </w:tcPr>
          <w:p>
            <w:pPr>
              <w:pStyle w:val="0"/>
              <w:jc w:val="both"/>
            </w:pPr>
            <w:r>
              <w:rPr>
                <w:sz w:val="20"/>
              </w:rPr>
              <w:t xml:space="preserve">___________________________ Подпись</w:t>
            </w:r>
          </w:p>
        </w:tc>
      </w:tr>
      <w:tr>
        <w:tblPrEx>
          <w:tblBorders>
            <w:insideH w:val="nil"/>
          </w:tblBorders>
        </w:tblPrEx>
        <w:tc>
          <w:tcPr>
            <w:gridSpan w:val="4"/>
            <w:tcW w:w="9070" w:type="dxa"/>
            <w:tcBorders>
              <w:top w:val="nil"/>
              <w:left w:val="nil"/>
              <w:bottom w:val="nil"/>
              <w:right w:val="nil"/>
            </w:tcBorders>
          </w:tcPr>
          <w:p>
            <w:pPr>
              <w:pStyle w:val="0"/>
              <w:ind w:firstLine="283"/>
              <w:jc w:val="both"/>
            </w:pPr>
            <w:r>
              <w:rPr>
                <w:sz w:val="20"/>
              </w:rPr>
              <w:t xml:space="preserve">--------------------------------</w:t>
            </w:r>
          </w:p>
          <w:bookmarkStart w:id="281" w:name="P281"/>
          <w:bookmarkEnd w:id="281"/>
          <w:p>
            <w:pPr>
              <w:pStyle w:val="0"/>
              <w:ind w:firstLine="283"/>
              <w:jc w:val="both"/>
            </w:pPr>
            <w:r>
              <w:rPr>
                <w:sz w:val="20"/>
              </w:rPr>
              <w:t xml:space="preserve">&lt;*&gt; Анкета предоставляется в Главное управление конкурентной политики области по адресу: 160000, г. Вологда, ул. Козленская, д. 8 или по электронной почте kgz@gz.gov35.ru.</w:t>
            </w:r>
          </w:p>
          <w:p>
            <w:pPr>
              <w:pStyle w:val="0"/>
              <w:ind w:firstLine="283"/>
              <w:jc w:val="both"/>
            </w:pPr>
            <w:r>
              <w:rPr>
                <w:sz w:val="20"/>
              </w:rPr>
              <w:t xml:space="preserve">Главное управление конкурентной политики области (далее - Главное управление) осуществляет обработку персональных данных, предоставленных в анкете, в целях проведения отбора кандидатов в члены общественного совета, а также в целях организационно-технического обеспечения деятельности общественного совета (в случае включения кандидатов в члены общественного совета).</w:t>
            </w:r>
          </w:p>
          <w:p>
            <w:pPr>
              <w:pStyle w:val="0"/>
              <w:ind w:firstLine="283"/>
              <w:jc w:val="both"/>
            </w:pPr>
            <w:r>
              <w:rPr>
                <w:sz w:val="20"/>
              </w:rPr>
              <w:t xml:space="preserve">Обработка персональных данных осуществляется на срок участия кандидата в отборе в члены Общественного совета, а также на срок участия в работе Общественного совета (в случае включения кандидата в члены Общественного совета).</w:t>
            </w:r>
          </w:p>
          <w:p>
            <w:pPr>
              <w:pStyle w:val="0"/>
              <w:ind w:firstLine="283"/>
              <w:jc w:val="both"/>
            </w:pPr>
            <w:r>
              <w:rPr>
                <w:sz w:val="20"/>
              </w:rPr>
              <w:t xml:space="preserve">В отношении персональных данных, предоставленных в анкете, будут осуществляться действия или совокупности действий, совершаемых с использованием средств автоматизации или без использования таких средств, которые необходимы для достижения указанных выше целей, включая: сбор, запись, систематизацию, накопление, хранение, уточнение (обновление, изменение), использование, извлечение, обезличивание, удаление, уничтожение, доступ, предоставление, а также передачу:</w:t>
            </w:r>
          </w:p>
          <w:p>
            <w:pPr>
              <w:pStyle w:val="0"/>
              <w:ind w:firstLine="283"/>
              <w:jc w:val="both"/>
            </w:pPr>
            <w:r>
              <w:rPr>
                <w:sz w:val="20"/>
              </w:rPr>
              <w:t xml:space="preserve">в Министерство внутренней политики Вологодской области, г. Вологда, ул. Герцена, д. 2. персональных данных: Ф.И.О., номер телефона, электронный адрес, место работы и замещаемая должность - с целью обеспечения реализации полномочий в сфере взаимодействия с общественными объединениями:</w:t>
            </w:r>
          </w:p>
          <w:p>
            <w:pPr>
              <w:pStyle w:val="0"/>
              <w:ind w:firstLine="283"/>
              <w:jc w:val="both"/>
            </w:pPr>
            <w:r>
              <w:rPr>
                <w:sz w:val="20"/>
              </w:rPr>
              <w:t xml:space="preserve">в Общественную палату области, г. Вологда, ул. Герцена, д. 27, персональных данных: Ф.И.О., номер телефона, электронный адрес, место работы и замещаемая должность - с целью осуществления взаимодействия с общественными советами при органах исполнительной государственной власти области.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Методике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5" w:tooltip="Приказ Главного управления конкурентной политики Вологодской области от 21.05.2025 N 60 &quot;О внесении изменений в приказ Главного управления конкурентной политики области от 26 декабря 2024 года N 158&quot; {КонсультантПлюс}">
              <w:r>
                <w:rPr>
                  <w:sz w:val="20"/>
                  <w:color w:val="0000ff"/>
                </w:rPr>
                <w:t xml:space="preserve">приказа</w:t>
              </w:r>
            </w:hyperlink>
            <w:r>
              <w:rPr>
                <w:sz w:val="20"/>
                <w:color w:val="392c69"/>
              </w:rPr>
              <w:t xml:space="preserve"> Главного управления</w:t>
            </w:r>
          </w:p>
          <w:p>
            <w:pPr>
              <w:pStyle w:val="0"/>
              <w:jc w:val="center"/>
            </w:pPr>
            <w:r>
              <w:rPr>
                <w:sz w:val="20"/>
                <w:color w:val="392c69"/>
              </w:rPr>
              <w:t xml:space="preserve">конкурентной политики Вологодской области</w:t>
            </w:r>
          </w:p>
          <w:p>
            <w:pPr>
              <w:pStyle w:val="0"/>
              <w:jc w:val="center"/>
            </w:pPr>
            <w:r>
              <w:rPr>
                <w:sz w:val="20"/>
                <w:color w:val="392c69"/>
              </w:rPr>
              <w:t xml:space="preserve">от 21.05.2025 N 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454"/>
        <w:gridCol w:w="2948"/>
        <w:gridCol w:w="1133"/>
        <w:gridCol w:w="3402"/>
        <w:gridCol w:w="794"/>
        <w:gridCol w:w="340"/>
      </w:tblGrid>
      <w:tr>
        <w:tc>
          <w:tcPr>
            <w:gridSpan w:val="6"/>
            <w:tcW w:w="9071" w:type="dxa"/>
            <w:tcBorders>
              <w:top w:val="nil"/>
              <w:left w:val="nil"/>
              <w:bottom w:val="nil"/>
              <w:right w:val="nil"/>
            </w:tcBorders>
          </w:tcPr>
          <w:bookmarkStart w:id="299" w:name="P299"/>
          <w:bookmarkEnd w:id="299"/>
          <w:p>
            <w:pPr>
              <w:pStyle w:val="0"/>
              <w:jc w:val="center"/>
            </w:pPr>
            <w:r>
              <w:rPr>
                <w:sz w:val="20"/>
              </w:rPr>
              <w:t xml:space="preserve">СОГЛАСИЕ</w:t>
            </w:r>
          </w:p>
          <w:p>
            <w:pPr>
              <w:pStyle w:val="0"/>
              <w:jc w:val="center"/>
            </w:pPr>
            <w:r>
              <w:rPr>
                <w:sz w:val="20"/>
              </w:rPr>
              <w:t xml:space="preserve">на обработку персональных данных</w:t>
            </w:r>
          </w:p>
        </w:tc>
      </w:tr>
      <w:tr>
        <w:tc>
          <w:tcPr>
            <w:gridSpan w:val="6"/>
            <w:tcW w:w="9071" w:type="dxa"/>
            <w:tcBorders>
              <w:top w:val="nil"/>
              <w:left w:val="nil"/>
              <w:bottom w:val="nil"/>
              <w:right w:val="nil"/>
            </w:tcBorders>
          </w:tcPr>
          <w:p>
            <w:pPr>
              <w:pStyle w:val="0"/>
            </w:pPr>
            <w:r>
              <w:rPr>
                <w:sz w:val="20"/>
              </w:rPr>
            </w:r>
          </w:p>
        </w:tc>
      </w:tr>
      <w:tr>
        <w:tc>
          <w:tcPr>
            <w:tcW w:w="454" w:type="dxa"/>
            <w:tcBorders>
              <w:top w:val="nil"/>
              <w:left w:val="nil"/>
              <w:bottom w:val="nil"/>
              <w:right w:val="nil"/>
            </w:tcBorders>
          </w:tcPr>
          <w:p>
            <w:pPr>
              <w:pStyle w:val="0"/>
              <w:jc w:val="both"/>
            </w:pPr>
            <w:r>
              <w:rPr>
                <w:sz w:val="20"/>
              </w:rPr>
              <w:t xml:space="preserve">Я,</w:t>
            </w:r>
          </w:p>
        </w:tc>
        <w:tc>
          <w:tcPr>
            <w:gridSpan w:val="4"/>
            <w:tcW w:w="827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454" w:type="dxa"/>
            <w:tcBorders>
              <w:top w:val="nil"/>
              <w:left w:val="nil"/>
              <w:bottom w:val="nil"/>
              <w:right w:val="nil"/>
            </w:tcBorders>
          </w:tcPr>
          <w:p>
            <w:pPr>
              <w:pStyle w:val="0"/>
            </w:pPr>
            <w:r>
              <w:rPr>
                <w:sz w:val="20"/>
              </w:rPr>
            </w:r>
          </w:p>
        </w:tc>
        <w:tc>
          <w:tcPr>
            <w:gridSpan w:val="4"/>
            <w:tcW w:w="8277" w:type="dxa"/>
            <w:tcBorders>
              <w:top w:val="single" w:sz="4"/>
              <w:left w:val="nil"/>
              <w:bottom w:val="nil"/>
              <w:right w:val="nil"/>
            </w:tcBorders>
          </w:tcPr>
          <w:p>
            <w:pPr>
              <w:pStyle w:val="0"/>
              <w:jc w:val="center"/>
            </w:pPr>
            <w:r>
              <w:rPr>
                <w:sz w:val="20"/>
              </w:rPr>
              <w:t xml:space="preserve">фамилия, имя, отчество объекта персональных данных</w:t>
            </w:r>
          </w:p>
        </w:tc>
        <w:tc>
          <w:tcPr>
            <w:tcW w:w="340" w:type="dxa"/>
            <w:tcBorders>
              <w:top w:val="nil"/>
              <w:left w:val="nil"/>
              <w:bottom w:val="nil"/>
              <w:right w:val="nil"/>
            </w:tcBorders>
          </w:tcPr>
          <w:p>
            <w:pPr>
              <w:pStyle w:val="0"/>
            </w:pPr>
            <w:r>
              <w:rPr>
                <w:sz w:val="20"/>
              </w:rPr>
            </w:r>
          </w:p>
        </w:tc>
      </w:tr>
      <w:tr>
        <w:tc>
          <w:tcPr>
            <w:gridSpan w:val="6"/>
            <w:tcW w:w="9071" w:type="dxa"/>
            <w:tcBorders>
              <w:top w:val="nil"/>
              <w:left w:val="nil"/>
              <w:bottom w:val="nil"/>
              <w:right w:val="nil"/>
            </w:tcBorders>
          </w:tcPr>
          <w:p>
            <w:pPr>
              <w:pStyle w:val="0"/>
              <w:jc w:val="both"/>
            </w:pPr>
            <w:r>
              <w:rPr>
                <w:sz w:val="20"/>
              </w:rPr>
              <w:t xml:space="preserve">зарегистрированный(ая) по адресу: __________________________________________, документ, удостоверяющий личность:</w:t>
            </w:r>
          </w:p>
        </w:tc>
      </w:tr>
      <w:tr>
        <w:tc>
          <w:tcPr>
            <w:gridSpan w:val="5"/>
            <w:tcW w:w="87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5"/>
            <w:tcW w:w="8731" w:type="dxa"/>
            <w:tcBorders>
              <w:top w:val="single" w:sz="4"/>
              <w:left w:val="nil"/>
              <w:bottom w:val="nil"/>
              <w:right w:val="nil"/>
            </w:tcBorders>
          </w:tcPr>
          <w:p>
            <w:pPr>
              <w:pStyle w:val="0"/>
              <w:jc w:val="center"/>
            </w:pPr>
            <w:r>
              <w:rPr>
                <w:sz w:val="20"/>
              </w:rPr>
              <w:t xml:space="preserve">вид документа, номер документа, когда и кем выдан</w:t>
            </w:r>
          </w:p>
        </w:tc>
        <w:tc>
          <w:tcPr>
            <w:tcW w:w="340" w:type="dxa"/>
            <w:tcBorders>
              <w:top w:val="nil"/>
              <w:left w:val="nil"/>
              <w:bottom w:val="nil"/>
              <w:right w:val="nil"/>
            </w:tcBorders>
          </w:tcPr>
          <w:p>
            <w:pPr>
              <w:pStyle w:val="0"/>
            </w:pPr>
            <w:r>
              <w:rPr>
                <w:sz w:val="20"/>
              </w:rPr>
            </w:r>
          </w:p>
        </w:tc>
      </w:tr>
      <w:tr>
        <w:tc>
          <w:tcPr>
            <w:gridSpan w:val="6"/>
            <w:tcW w:w="9071" w:type="dxa"/>
            <w:tcBorders>
              <w:top w:val="nil"/>
              <w:left w:val="nil"/>
              <w:bottom w:val="nil"/>
              <w:right w:val="nil"/>
            </w:tcBorders>
          </w:tcPr>
          <w:p>
            <w:pPr>
              <w:pStyle w:val="0"/>
              <w:jc w:val="both"/>
            </w:pPr>
            <w:r>
              <w:rPr>
                <w:sz w:val="20"/>
              </w:rPr>
              <w:t xml:space="preserve">даю согласие на обработку моих персональных данных, предоставленных в Анкете, Главному управлению конкурентной политики области, находящемуся по адресу: г. Вологда, ул. Козленская, д. 8, с целью участия в отборе в члены Общественного совета при Главном управлении конкурентной политики области, а также на период работы в Общественном совете, в случае включения меня в его члены.</w:t>
            </w:r>
          </w:p>
        </w:tc>
      </w:tr>
      <w:tr>
        <w:tc>
          <w:tcPr>
            <w:gridSpan w:val="6"/>
            <w:tcW w:w="9071" w:type="dxa"/>
            <w:tcBorders>
              <w:top w:val="nil"/>
              <w:left w:val="nil"/>
              <w:bottom w:val="nil"/>
              <w:right w:val="nil"/>
            </w:tcBorders>
          </w:tcPr>
          <w:p>
            <w:pPr>
              <w:pStyle w:val="0"/>
            </w:pPr>
            <w:r>
              <w:rPr>
                <w:sz w:val="20"/>
              </w:rPr>
            </w:r>
          </w:p>
        </w:tc>
      </w:tr>
      <w:tr>
        <w:tc>
          <w:tcPr>
            <w:gridSpan w:val="6"/>
            <w:tcW w:w="9071" w:type="dxa"/>
            <w:tcBorders>
              <w:top w:val="nil"/>
              <w:left w:val="nil"/>
              <w:bottom w:val="nil"/>
              <w:right w:val="nil"/>
            </w:tcBorders>
          </w:tcPr>
          <w:p>
            <w:pPr>
              <w:pStyle w:val="0"/>
              <w:ind w:firstLine="283"/>
              <w:jc w:val="both"/>
            </w:pPr>
            <w:r>
              <w:rPr>
                <w:sz w:val="20"/>
              </w:rPr>
              <w:t xml:space="preserve">Перечень персональных данных, на обработку которых дается согласие:</w:t>
            </w:r>
          </w:p>
          <w:p>
            <w:pPr>
              <w:pStyle w:val="0"/>
              <w:ind w:firstLine="283"/>
              <w:jc w:val="both"/>
            </w:pPr>
            <w:r>
              <w:rPr>
                <w:sz w:val="20"/>
              </w:rPr>
              <w:t xml:space="preserve">- фамилия, имя, отчество:</w:t>
            </w:r>
          </w:p>
          <w:p>
            <w:pPr>
              <w:pStyle w:val="0"/>
              <w:ind w:firstLine="283"/>
              <w:jc w:val="both"/>
            </w:pPr>
            <w:r>
              <w:rPr>
                <w:sz w:val="20"/>
              </w:rPr>
              <w:t xml:space="preserve">- дата рождения;</w:t>
            </w:r>
          </w:p>
          <w:p>
            <w:pPr>
              <w:pStyle w:val="0"/>
              <w:ind w:firstLine="283"/>
              <w:jc w:val="both"/>
            </w:pPr>
            <w:r>
              <w:rPr>
                <w:sz w:val="20"/>
              </w:rPr>
              <w:t xml:space="preserve">- гражданство:</w:t>
            </w:r>
          </w:p>
          <w:p>
            <w:pPr>
              <w:pStyle w:val="0"/>
              <w:ind w:firstLine="283"/>
              <w:jc w:val="both"/>
            </w:pPr>
            <w:r>
              <w:rPr>
                <w:sz w:val="20"/>
              </w:rPr>
              <w:t xml:space="preserve">- адреса регистрации, фактического проживания;</w:t>
            </w:r>
          </w:p>
          <w:p>
            <w:pPr>
              <w:pStyle w:val="0"/>
              <w:ind w:firstLine="283"/>
              <w:jc w:val="both"/>
            </w:pPr>
            <w:r>
              <w:rPr>
                <w:sz w:val="20"/>
              </w:rPr>
              <w:t xml:space="preserve">- номер телефона;</w:t>
            </w:r>
          </w:p>
          <w:p>
            <w:pPr>
              <w:pStyle w:val="0"/>
              <w:ind w:firstLine="283"/>
              <w:jc w:val="both"/>
            </w:pPr>
            <w:r>
              <w:rPr>
                <w:sz w:val="20"/>
              </w:rPr>
              <w:t xml:space="preserve">- электронный адрес;</w:t>
            </w:r>
          </w:p>
          <w:p>
            <w:pPr>
              <w:pStyle w:val="0"/>
              <w:ind w:firstLine="283"/>
              <w:jc w:val="both"/>
            </w:pPr>
            <w:r>
              <w:rPr>
                <w:sz w:val="20"/>
              </w:rPr>
              <w:t xml:space="preserve">- сведения об образовании:</w:t>
            </w:r>
          </w:p>
          <w:p>
            <w:pPr>
              <w:pStyle w:val="0"/>
              <w:ind w:firstLine="283"/>
              <w:jc w:val="both"/>
            </w:pPr>
            <w:r>
              <w:rPr>
                <w:sz w:val="20"/>
              </w:rPr>
              <w:t xml:space="preserve">- сведения о месте работы, замещаемой должности;</w:t>
            </w:r>
          </w:p>
          <w:p>
            <w:pPr>
              <w:pStyle w:val="0"/>
              <w:ind w:firstLine="283"/>
              <w:jc w:val="both"/>
            </w:pPr>
            <w:r>
              <w:rPr>
                <w:sz w:val="20"/>
              </w:rPr>
              <w:t xml:space="preserve">- сведения о наградах;</w:t>
            </w:r>
          </w:p>
          <w:p>
            <w:pPr>
              <w:pStyle w:val="0"/>
              <w:ind w:firstLine="283"/>
              <w:jc w:val="both"/>
            </w:pPr>
            <w:r>
              <w:rPr>
                <w:sz w:val="20"/>
              </w:rPr>
              <w:t xml:space="preserve">- фото.</w:t>
            </w:r>
          </w:p>
          <w:p>
            <w:pPr>
              <w:pStyle w:val="0"/>
              <w:ind w:firstLine="283"/>
              <w:jc w:val="both"/>
            </w:pPr>
            <w:r>
              <w:rPr>
                <w:sz w:val="20"/>
              </w:rPr>
              <w:t xml:space="preserve">Настоящее согласие предоставляется на осуществление действий или совокупности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для достижения указанных выше целей, включая: сбор, запись, систематизацию, накопление, хранение, уточнение (обновление, изменение), использование, извлечение, обезличивание, удаление, уничтожение, доступ, предоставление, а также передачу:</w:t>
            </w:r>
          </w:p>
          <w:p>
            <w:pPr>
              <w:pStyle w:val="0"/>
              <w:ind w:firstLine="283"/>
              <w:jc w:val="both"/>
            </w:pPr>
            <w:r>
              <w:rPr>
                <w:sz w:val="20"/>
              </w:rPr>
              <w:t xml:space="preserve">в Министерство внутренней политики Вологодской области, г. Вологда, ул. Герцена, д. 2, персональных данных: Ф.И.О., номер телефона, электронный адрес, место работы и замещаемая должность - с целью обеспечения реализации полномочий в сфере взаимодействия с общественными объединениями:</w:t>
            </w:r>
          </w:p>
          <w:p>
            <w:pPr>
              <w:pStyle w:val="0"/>
              <w:ind w:firstLine="283"/>
              <w:jc w:val="both"/>
            </w:pPr>
            <w:r>
              <w:rPr>
                <w:sz w:val="20"/>
              </w:rPr>
              <w:t xml:space="preserve">в Общественную палату Вологодской области, г. Вологда, ул. Герцена, д. 27, персональных данных: Ф.И.О., номер телефона, электронный адрес, место работы и замещаемая должность - с целью осуществления взаимодействия с общественными советами при исполнительных органах области.</w:t>
            </w:r>
          </w:p>
          <w:p>
            <w:pPr>
              <w:pStyle w:val="0"/>
              <w:ind w:firstLine="283"/>
              <w:jc w:val="both"/>
            </w:pPr>
            <w:r>
              <w:rPr>
                <w:sz w:val="20"/>
              </w:rPr>
              <w:t xml:space="preserve">Настоящее согласие дается на срок моего участия в отборе в члены Общественного совета, а также на срок участия в работе Общественного совета, в случае включения меня в его члены.</w:t>
            </w:r>
          </w:p>
          <w:p>
            <w:pPr>
              <w:pStyle w:val="0"/>
              <w:ind w:firstLine="283"/>
              <w:jc w:val="both"/>
            </w:pPr>
            <w:r>
              <w:rPr>
                <w:sz w:val="20"/>
              </w:rPr>
              <w:t xml:space="preserve">Настоящее согласие может быть отозвано мною по письменному заявлению. В случае отзыва настоящего согласия на обработку персональных данных до конца срока сто действия, я предупрежден(а), что мое участие в отборе в члены Общественного совета, а также участие в работе Общественного совета, в случае включения меня в его члены, будет прекращено.</w:t>
            </w:r>
          </w:p>
        </w:tc>
      </w:tr>
      <w:tr>
        <w:tc>
          <w:tcPr>
            <w:gridSpan w:val="6"/>
            <w:tcW w:w="9071" w:type="dxa"/>
            <w:tcBorders>
              <w:top w:val="nil"/>
              <w:left w:val="nil"/>
              <w:bottom w:val="nil"/>
              <w:right w:val="nil"/>
            </w:tcBorders>
          </w:tcPr>
          <w:p>
            <w:pPr>
              <w:pStyle w:val="0"/>
            </w:pPr>
            <w:r>
              <w:rPr>
                <w:sz w:val="20"/>
              </w:rPr>
            </w:r>
          </w:p>
        </w:tc>
      </w:tr>
      <w:tr>
        <w:tc>
          <w:tcPr>
            <w:gridSpan w:val="2"/>
            <w:tcW w:w="3402" w:type="dxa"/>
            <w:tcBorders>
              <w:top w:val="nil"/>
              <w:left w:val="nil"/>
              <w:bottom w:val="single" w:sz="4"/>
              <w:right w:val="nil"/>
            </w:tcBorders>
          </w:tcPr>
          <w:p>
            <w:pPr>
              <w:pStyle w:val="0"/>
            </w:pPr>
            <w:r>
              <w:rPr>
                <w:sz w:val="20"/>
              </w:rPr>
            </w:r>
          </w:p>
        </w:tc>
        <w:tc>
          <w:tcPr>
            <w:tcW w:w="1133" w:type="dxa"/>
            <w:tcBorders>
              <w:top w:val="nil"/>
              <w:left w:val="nil"/>
              <w:bottom w:val="nil"/>
              <w:right w:val="nil"/>
            </w:tcBorders>
          </w:tcPr>
          <w:p>
            <w:pPr>
              <w:pStyle w:val="0"/>
            </w:pPr>
            <w:r>
              <w:rPr>
                <w:sz w:val="20"/>
              </w:rPr>
            </w:r>
          </w:p>
        </w:tc>
        <w:tc>
          <w:tcPr>
            <w:tcW w:w="3402" w:type="dxa"/>
            <w:tcBorders>
              <w:top w:val="nil"/>
              <w:left w:val="nil"/>
              <w:bottom w:val="single" w:sz="4"/>
              <w:right w:val="nil"/>
            </w:tcBorders>
          </w:tcPr>
          <w:p>
            <w:pPr>
              <w:pStyle w:val="0"/>
            </w:pPr>
            <w:r>
              <w:rPr>
                <w:sz w:val="20"/>
              </w:rPr>
            </w:r>
          </w:p>
        </w:tc>
        <w:tc>
          <w:tcPr>
            <w:gridSpan w:val="2"/>
            <w:tcW w:w="1134" w:type="dxa"/>
            <w:tcBorders>
              <w:top w:val="nil"/>
              <w:left w:val="nil"/>
              <w:bottom w:val="nil"/>
              <w:right w:val="nil"/>
            </w:tcBorders>
          </w:tcPr>
          <w:p>
            <w:pPr>
              <w:pStyle w:val="0"/>
            </w:pPr>
            <w:r>
              <w:rPr>
                <w:sz w:val="20"/>
              </w:rPr>
            </w:r>
          </w:p>
        </w:tc>
      </w:tr>
      <w:tr>
        <w:tc>
          <w:tcPr>
            <w:gridSpan w:val="2"/>
            <w:tcW w:w="3402" w:type="dxa"/>
            <w:tcBorders>
              <w:top w:val="single" w:sz="4"/>
              <w:left w:val="nil"/>
              <w:bottom w:val="nil"/>
              <w:right w:val="nil"/>
            </w:tcBorders>
          </w:tcPr>
          <w:p>
            <w:pPr>
              <w:pStyle w:val="0"/>
              <w:jc w:val="center"/>
            </w:pPr>
            <w:r>
              <w:rPr>
                <w:sz w:val="20"/>
              </w:rPr>
              <w:t xml:space="preserve">подпись</w:t>
            </w:r>
          </w:p>
        </w:tc>
        <w:tc>
          <w:tcPr>
            <w:tcW w:w="1133" w:type="dxa"/>
            <w:tcBorders>
              <w:top w:val="nil"/>
              <w:left w:val="nil"/>
              <w:bottom w:val="nil"/>
              <w:right w:val="nil"/>
            </w:tcBorders>
          </w:tcPr>
          <w:p>
            <w:pPr>
              <w:pStyle w:val="0"/>
            </w:pPr>
            <w:r>
              <w:rPr>
                <w:sz w:val="20"/>
              </w:rPr>
            </w:r>
          </w:p>
        </w:tc>
        <w:tc>
          <w:tcPr>
            <w:tcW w:w="3402" w:type="dxa"/>
            <w:tcBorders>
              <w:top w:val="single" w:sz="4"/>
              <w:left w:val="nil"/>
              <w:bottom w:val="nil"/>
              <w:right w:val="nil"/>
            </w:tcBorders>
          </w:tcPr>
          <w:p>
            <w:pPr>
              <w:pStyle w:val="0"/>
              <w:jc w:val="center"/>
            </w:pPr>
            <w:r>
              <w:rPr>
                <w:sz w:val="20"/>
              </w:rPr>
              <w:t xml:space="preserve">расшифровка подписи</w:t>
            </w:r>
          </w:p>
        </w:tc>
        <w:tc>
          <w:tcPr>
            <w:gridSpan w:val="2"/>
            <w:tcW w:w="1134" w:type="dxa"/>
            <w:tcBorders>
              <w:top w:val="nil"/>
              <w:left w:val="nil"/>
              <w:bottom w:val="nil"/>
              <w:right w:val="nil"/>
            </w:tcBorders>
          </w:tcPr>
          <w:p>
            <w:pPr>
              <w:pStyle w:val="0"/>
            </w:pPr>
            <w:r>
              <w:rPr>
                <w:sz w:val="20"/>
              </w:rPr>
            </w:r>
          </w:p>
        </w:tc>
      </w:tr>
      <w:tr>
        <w:tc>
          <w:tcPr>
            <w:gridSpan w:val="6"/>
            <w:tcW w:w="9071" w:type="dxa"/>
            <w:tcBorders>
              <w:top w:val="nil"/>
              <w:left w:val="nil"/>
              <w:bottom w:val="nil"/>
              <w:right w:val="nil"/>
            </w:tcBorders>
          </w:tcPr>
          <w:p>
            <w:pPr>
              <w:pStyle w:val="0"/>
              <w:jc w:val="right"/>
            </w:pPr>
            <w:r>
              <w:rPr>
                <w:sz w:val="20"/>
              </w:rPr>
              <w:t xml:space="preserve">"__"___________ 20__ г.</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Главного управления конкурентной политики Вологодской области от 26.12.2024 N 158</w:t>
            <w:br/>
            <w:t>(ред. от 01.10.2025)</w:t>
            <w:br/>
            <w:t>"Об утверж...</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5&amp;n=251125&amp;dst=100005" TargetMode = "External"/><Relationship Id="rId9" Type="http://schemas.openxmlformats.org/officeDocument/2006/relationships/hyperlink" Target="https://login.consultant.ru/link/?req=doc&amp;base=RLAW095&amp;n=255821&amp;dst=100005" TargetMode = "External"/><Relationship Id="rId10" Type="http://schemas.openxmlformats.org/officeDocument/2006/relationships/hyperlink" Target="https://login.consultant.ru/link/?req=doc&amp;base=RLAW095&amp;n=194464&amp;dst=100006" TargetMode = "External"/><Relationship Id="rId11" Type="http://schemas.openxmlformats.org/officeDocument/2006/relationships/hyperlink" Target="https://login.consultant.ru/link/?req=doc&amp;base=RLAW095&amp;n=249895&amp;dst=100017" TargetMode = "External"/><Relationship Id="rId12" Type="http://schemas.openxmlformats.org/officeDocument/2006/relationships/hyperlink" Target="https://login.consultant.ru/link/?req=doc&amp;base=RLAW095&amp;n=205417" TargetMode = "External"/><Relationship Id="rId13" Type="http://schemas.openxmlformats.org/officeDocument/2006/relationships/hyperlink" Target="https://login.consultant.ru/link/?req=doc&amp;base=RLAW095&amp;n=205330" TargetMode = "External"/><Relationship Id="rId14" Type="http://schemas.openxmlformats.org/officeDocument/2006/relationships/hyperlink" Target="https://login.consultant.ru/link/?req=doc&amp;base=RLAW095&amp;n=255821&amp;dst=100005" TargetMode = "External"/><Relationship Id="rId15" Type="http://schemas.openxmlformats.org/officeDocument/2006/relationships/hyperlink" Target="https://login.consultant.ru/link/?req=doc&amp;base=RLAW095&amp;n=251125&amp;dst=100006" TargetMode = "External"/><Relationship Id="rId16" Type="http://schemas.openxmlformats.org/officeDocument/2006/relationships/hyperlink" Target="https://login.consultant.ru/link/?req=doc&amp;base=LAW&amp;n=2875" TargetMode = "External"/><Relationship Id="rId17" Type="http://schemas.openxmlformats.org/officeDocument/2006/relationships/hyperlink" Target="https://login.consultant.ru/link/?req=doc&amp;base=RLAW095&amp;n=251125&amp;dst=100007" TargetMode = "External"/><Relationship Id="rId18" Type="http://schemas.openxmlformats.org/officeDocument/2006/relationships/hyperlink" Target="https://login.consultant.ru/link/?req=doc&amp;base=RLAW095&amp;n=240320&amp;dst=100031" TargetMode = "External"/><Relationship Id="rId19" Type="http://schemas.openxmlformats.org/officeDocument/2006/relationships/hyperlink" Target="https://login.consultant.ru/link/?req=doc&amp;base=RLAW095&amp;n=251125&amp;dst=100019" TargetMode = "External"/><Relationship Id="rId20" Type="http://schemas.openxmlformats.org/officeDocument/2006/relationships/hyperlink" Target="https://login.consultant.ru/link/?req=doc&amp;base=RLAW095&amp;n=251125&amp;dst=100021" TargetMode = "External"/><Relationship Id="rId21" Type="http://schemas.openxmlformats.org/officeDocument/2006/relationships/hyperlink" Target="https://login.consultant.ru/link/?req=doc&amp;base=RLAW095&amp;n=251125&amp;dst=100022" TargetMode = "External"/><Relationship Id="rId22" Type="http://schemas.openxmlformats.org/officeDocument/2006/relationships/hyperlink" Target="https://login.consultant.ru/link/?req=doc&amp;base=RLAW095&amp;n=244642&amp;dst=100050" TargetMode = "External"/><Relationship Id="rId23" Type="http://schemas.openxmlformats.org/officeDocument/2006/relationships/hyperlink" Target="https://login.consultant.ru/link/?req=doc&amp;base=RLAW095&amp;n=251125&amp;dst=100023" TargetMode = "External"/><Relationship Id="rId24" Type="http://schemas.openxmlformats.org/officeDocument/2006/relationships/hyperlink" Target="https://login.consultant.ru/link/?req=doc&amp;base=RLAW095&amp;n=251125&amp;dst=100024" TargetMode = "External"/><Relationship Id="rId25" Type="http://schemas.openxmlformats.org/officeDocument/2006/relationships/hyperlink" Target="https://login.consultant.ru/link/?req=doc&amp;base=RLAW095&amp;n=251125&amp;dst=10002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Главного управления конкурентной политики Вологодской области от 26.12.2024 N 158
(ред. от 01.10.2025)
"Об утверждении Положения об общественном совете при Главном управлении конкурентной политики области"
(вместе с "Методикой проведения мероприятий по отбору кандидатов в члены общественного совета при Главном управлении конкурентной политики области (далее - Методика)")</dc:title>
  <dcterms:created xsi:type="dcterms:W3CDTF">2026-01-02T10:52:53Z</dcterms:created>
</cp:coreProperties>
</file>