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6"/>
              </w:rPr>
              <w:t xml:space="preserve">Приказ Главного управления государственной инспекции по надзору за техническим состоянием самоходных машин и других видов техники Вологодской области от 19.06.2025 N 37</w:t>
              <w:br/>
              <w:t xml:space="preserve">"Об Общественном совете при Главном управлении государственной инспекции по надзору за техническим состоянием самоходных машин и других видов техники Вологодской области"</w:t>
              <w:br/>
              <w:t xml:space="preserve">(вместе с "Положением об Общественном совете при Главном управлении государственной инспекции по надзору за техническим состоянием самоходных машин и других видов техники Вологодской области (далее - Положение)")</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02.01.2026</w:t>
            </w:r>
            <w:r>
              <w:rPr>
                <w:sz w:val="28"/>
              </w:rPr>
              <w:br/>
              <w:t xml:space="preserve"> </w:t>
            </w:r>
          </w:p>
        </w:tc>
      </w:tr>
    </w:tbl>
    <w:p>
      <w:pPr>
        <w:sectPr>
          <w:pgSz w:w="11906" w:h="16838"/>
          <w:pgMar w:top="841" w:right="595" w:bottom="841" w:left="595" w:header="0" w:footer="0" w:gutter="0"/>
          <w:titlePg/>
        </w:sectPr>
      </w:pPr>
    </w:p>
    <w:p>
      <w:pPr>
        <w:pStyle w:val="0"/>
        <w:outlineLvl w:val="0"/>
      </w:pPr>
      <w:r>
        <w:rPr>
          <w:sz w:val="20"/>
        </w:rPr>
      </w:r>
    </w:p>
    <w:p>
      <w:pPr>
        <w:pStyle w:val="2"/>
        <w:outlineLvl w:val="0"/>
        <w:jc w:val="center"/>
      </w:pPr>
      <w:r>
        <w:rPr>
          <w:sz w:val="20"/>
        </w:rPr>
        <w:t xml:space="preserve">ГЛАВНОЕ УПРАВЛЕНИЕ ГОСУДАРСТВЕННОЙ ИНСПЕКЦИИ ПО НАДЗОРУ</w:t>
      </w:r>
    </w:p>
    <w:p>
      <w:pPr>
        <w:pStyle w:val="2"/>
        <w:jc w:val="center"/>
      </w:pPr>
      <w:r>
        <w:rPr>
          <w:sz w:val="20"/>
        </w:rPr>
        <w:t xml:space="preserve">ЗА ТЕХНИЧЕСКИМ СОСТОЯНИЕМ САМОХОДНЫХ МАШИН</w:t>
      </w:r>
    </w:p>
    <w:p>
      <w:pPr>
        <w:pStyle w:val="2"/>
        <w:jc w:val="center"/>
      </w:pPr>
      <w:r>
        <w:rPr>
          <w:sz w:val="20"/>
        </w:rPr>
        <w:t xml:space="preserve">И ДРУГИХ ВИДОВ ТЕХНИКИ ВОЛОГОДСКОЙ ОБЛАСТИ</w:t>
      </w:r>
    </w:p>
    <w:p>
      <w:pPr>
        <w:pStyle w:val="2"/>
        <w:jc w:val="center"/>
      </w:pPr>
      <w:r>
        <w:rPr>
          <w:sz w:val="20"/>
        </w:rPr>
      </w:r>
    </w:p>
    <w:p>
      <w:pPr>
        <w:pStyle w:val="2"/>
        <w:jc w:val="center"/>
      </w:pPr>
      <w:r>
        <w:rPr>
          <w:sz w:val="20"/>
        </w:rPr>
        <w:t xml:space="preserve">ПРИКАЗ</w:t>
      </w:r>
    </w:p>
    <w:p>
      <w:pPr>
        <w:pStyle w:val="2"/>
        <w:jc w:val="center"/>
      </w:pPr>
      <w:r>
        <w:rPr>
          <w:sz w:val="20"/>
        </w:rPr>
        <w:t xml:space="preserve">от 19 июня 2025 г. N 37</w:t>
      </w:r>
    </w:p>
    <w:p>
      <w:pPr>
        <w:pStyle w:val="2"/>
        <w:jc w:val="center"/>
      </w:pPr>
      <w:r>
        <w:rPr>
          <w:sz w:val="20"/>
        </w:rPr>
      </w:r>
    </w:p>
    <w:p>
      <w:pPr>
        <w:pStyle w:val="2"/>
        <w:jc w:val="center"/>
      </w:pPr>
      <w:r>
        <w:rPr>
          <w:sz w:val="20"/>
        </w:rPr>
        <w:t xml:space="preserve">ОБ ОБЩЕСТВЕННОМ СОВЕТЕ ПРИ ГЛАВНОМ УПРАВЛЕНИИ</w:t>
      </w:r>
    </w:p>
    <w:p>
      <w:pPr>
        <w:pStyle w:val="2"/>
        <w:jc w:val="center"/>
      </w:pPr>
      <w:r>
        <w:rPr>
          <w:sz w:val="20"/>
        </w:rPr>
        <w:t xml:space="preserve">ГОСУДАРСТВЕННОЙ ИНСПЕКЦИИ ПО НАДЗОРУ ЗА ТЕХНИЧЕСКИМ</w:t>
      </w:r>
    </w:p>
    <w:p>
      <w:pPr>
        <w:pStyle w:val="2"/>
        <w:jc w:val="center"/>
      </w:pPr>
      <w:r>
        <w:rPr>
          <w:sz w:val="20"/>
        </w:rPr>
        <w:t xml:space="preserve">СОСТОЯНИЕМ САМОХОДНЫХ МАШИН И ДРУГИХ ВИДОВ ТЕХНИКИ</w:t>
      </w:r>
    </w:p>
    <w:p>
      <w:pPr>
        <w:pStyle w:val="2"/>
        <w:jc w:val="center"/>
      </w:pPr>
      <w:r>
        <w:rPr>
          <w:sz w:val="20"/>
        </w:rPr>
        <w:t xml:space="preserve">ВОЛОГОДСКОЙ ОБЛАСТИ</w:t>
      </w:r>
    </w:p>
    <w:p>
      <w:pPr>
        <w:pStyle w:val="0"/>
      </w:pPr>
      <w:r>
        <w:rPr>
          <w:sz w:val="20"/>
        </w:rPr>
      </w:r>
    </w:p>
    <w:p>
      <w:pPr>
        <w:pStyle w:val="0"/>
        <w:ind w:firstLine="540"/>
        <w:jc w:val="both"/>
      </w:pPr>
      <w:r>
        <w:rPr>
          <w:sz w:val="20"/>
        </w:rPr>
        <w:t xml:space="preserve">В соответствии с </w:t>
      </w:r>
      <w:hyperlink w:history="0" r:id="rId8" w:tooltip="Постановление Правительства Вологодской области от 27.12.2011 N 1691 &quot;О Концепции содействия развитию институтов гражданского общества в Вологодской области&quot; (вместе с &quot;Концепцией содействия развитию институтов гражданского общества в Вологодской области&quot;) {КонсультантПлюс}">
        <w:r>
          <w:rPr>
            <w:sz w:val="20"/>
            <w:color w:val="0000ff"/>
          </w:rPr>
          <w:t xml:space="preserve">постановлением</w:t>
        </w:r>
      </w:hyperlink>
      <w:r>
        <w:rPr>
          <w:sz w:val="20"/>
        </w:rPr>
        <w:t xml:space="preserve"> Правительства области от 27 декабря 2011 года N 1691 "О Концепции содействия развитию институтов гражданского общества в Вологодской области" и </w:t>
      </w:r>
      <w:hyperlink w:history="0" r:id="rId9" w:tooltip="Постановление Губернатора Вологодской области от 24.12.2012 N 686 (ред. от 17.06.2021) &quot;О порядке образования и отдельных вопросах деятельности общественных советов при органах исполнительной государственной власти области&quot; {КонсультантПлюс}">
        <w:r>
          <w:rPr>
            <w:sz w:val="20"/>
            <w:color w:val="0000ff"/>
          </w:rPr>
          <w:t xml:space="preserve">постановлением</w:t>
        </w:r>
      </w:hyperlink>
      <w:r>
        <w:rPr>
          <w:sz w:val="20"/>
        </w:rPr>
        <w:t xml:space="preserve"> Губернатора области от 24 декабря 2012 года N 686 приказываю:</w:t>
      </w:r>
    </w:p>
    <w:p>
      <w:pPr>
        <w:pStyle w:val="0"/>
        <w:spacing w:before="200" w:lineRule="auto"/>
        <w:ind w:firstLine="540"/>
        <w:jc w:val="both"/>
      </w:pPr>
      <w:r>
        <w:rPr>
          <w:sz w:val="20"/>
        </w:rPr>
        <w:t xml:space="preserve">1. Утвердить </w:t>
      </w:r>
      <w:hyperlink w:history="0" w:anchor="P35" w:tooltip="ПОЛОЖЕНИЕ">
        <w:r>
          <w:rPr>
            <w:sz w:val="20"/>
            <w:color w:val="0000ff"/>
          </w:rPr>
          <w:t xml:space="preserve">Положение</w:t>
        </w:r>
      </w:hyperlink>
      <w:r>
        <w:rPr>
          <w:sz w:val="20"/>
        </w:rPr>
        <w:t xml:space="preserve"> об Общественном совете при Главном управлении государственной инспекции по надзору за техническим состоянием самоходных машин и других видов техники Вологодской области согласно приложению к настоящему приказу.</w:t>
      </w:r>
    </w:p>
    <w:p>
      <w:pPr>
        <w:pStyle w:val="0"/>
        <w:spacing w:before="200" w:lineRule="auto"/>
        <w:ind w:firstLine="540"/>
        <w:jc w:val="both"/>
      </w:pPr>
      <w:r>
        <w:rPr>
          <w:sz w:val="20"/>
        </w:rPr>
        <w:t xml:space="preserve">2. Признать утратившими силу </w:t>
      </w:r>
      <w:hyperlink w:history="0" r:id="rId10" w:tooltip="Приказ Управления государственной инспекции по надзору за техническим состоянием самоходных машин и других видов техники Вологодской области от 28.01.2020 N 5 &quot;Об Общественном совете при Управлении государственной инспекции по надзору за техническим состоянием самоходных машин и других видов техники Вологодской области&quot; (вместе с &quot;Положением об Общественном совете при Управлении государственной инспекции по надзору за техническим состоянием самоходных машин и других видов техники Вологодской области (далее  ------------ Утратил силу или отменен {КонсультантПлюс}">
        <w:r>
          <w:rPr>
            <w:sz w:val="20"/>
            <w:color w:val="0000ff"/>
          </w:rPr>
          <w:t xml:space="preserve">приказ</w:t>
        </w:r>
      </w:hyperlink>
      <w:r>
        <w:rPr>
          <w:sz w:val="20"/>
        </w:rPr>
        <w:t xml:space="preserve"> Управления государственной инспекции по надзору за техническим состоянием самоходных машин и других видов техники Вологодской области от 28 января 2020 года N 5 "Об Общественном совете при Управлении государственной инспекции по надзору за техническим состоянием самоходных машин и других видов техники Вологодской области".</w:t>
      </w:r>
    </w:p>
    <w:p>
      <w:pPr>
        <w:pStyle w:val="0"/>
        <w:spacing w:before="200" w:lineRule="auto"/>
        <w:ind w:firstLine="540"/>
        <w:jc w:val="both"/>
      </w:pPr>
      <w:r>
        <w:rPr>
          <w:sz w:val="20"/>
        </w:rPr>
        <w:t xml:space="preserve">3. Настоящий приказ вступает в силу в течение десяти дней со дня его официального опубликования.</w:t>
      </w:r>
    </w:p>
    <w:p>
      <w:pPr>
        <w:pStyle w:val="0"/>
      </w:pPr>
      <w:r>
        <w:rPr>
          <w:sz w:val="20"/>
        </w:rPr>
      </w:r>
    </w:p>
    <w:p>
      <w:pPr>
        <w:pStyle w:val="0"/>
        <w:jc w:val="right"/>
      </w:pPr>
      <w:r>
        <w:rPr>
          <w:sz w:val="20"/>
        </w:rPr>
        <w:t xml:space="preserve">Начальник Главного управления</w:t>
      </w:r>
    </w:p>
    <w:p>
      <w:pPr>
        <w:pStyle w:val="0"/>
        <w:jc w:val="right"/>
      </w:pPr>
      <w:r>
        <w:rPr>
          <w:sz w:val="20"/>
        </w:rPr>
        <w:t xml:space="preserve">Ю.В.НЕРОБОВ</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0"/>
        <w:jc w:val="right"/>
      </w:pPr>
      <w:r>
        <w:rPr>
          <w:sz w:val="20"/>
        </w:rPr>
        <w:t xml:space="preserve">Утверждено</w:t>
      </w:r>
    </w:p>
    <w:p>
      <w:pPr>
        <w:pStyle w:val="0"/>
        <w:jc w:val="right"/>
      </w:pPr>
      <w:r>
        <w:rPr>
          <w:sz w:val="20"/>
        </w:rPr>
        <w:t xml:space="preserve">Приказом</w:t>
      </w:r>
    </w:p>
    <w:p>
      <w:pPr>
        <w:pStyle w:val="0"/>
        <w:jc w:val="right"/>
      </w:pPr>
      <w:r>
        <w:rPr>
          <w:sz w:val="20"/>
        </w:rPr>
        <w:t xml:space="preserve">Главного управления государственной</w:t>
      </w:r>
    </w:p>
    <w:p>
      <w:pPr>
        <w:pStyle w:val="0"/>
        <w:jc w:val="right"/>
      </w:pPr>
      <w:r>
        <w:rPr>
          <w:sz w:val="20"/>
        </w:rPr>
        <w:t xml:space="preserve">инспекции по надзору за техническим</w:t>
      </w:r>
    </w:p>
    <w:p>
      <w:pPr>
        <w:pStyle w:val="0"/>
        <w:jc w:val="right"/>
      </w:pPr>
      <w:r>
        <w:rPr>
          <w:sz w:val="20"/>
        </w:rPr>
        <w:t xml:space="preserve">состоянием самоходных машин</w:t>
      </w:r>
    </w:p>
    <w:p>
      <w:pPr>
        <w:pStyle w:val="0"/>
        <w:jc w:val="right"/>
      </w:pPr>
      <w:r>
        <w:rPr>
          <w:sz w:val="20"/>
        </w:rPr>
        <w:t xml:space="preserve">и других видов техники</w:t>
      </w:r>
    </w:p>
    <w:p>
      <w:pPr>
        <w:pStyle w:val="0"/>
        <w:jc w:val="right"/>
      </w:pPr>
      <w:r>
        <w:rPr>
          <w:sz w:val="20"/>
        </w:rPr>
        <w:t xml:space="preserve">Вологодской области</w:t>
      </w:r>
    </w:p>
    <w:p>
      <w:pPr>
        <w:pStyle w:val="0"/>
        <w:jc w:val="right"/>
      </w:pPr>
      <w:r>
        <w:rPr>
          <w:sz w:val="20"/>
        </w:rPr>
        <w:t xml:space="preserve">от 19 июня 2025 г. N 37</w:t>
      </w:r>
    </w:p>
    <w:p>
      <w:pPr>
        <w:pStyle w:val="0"/>
        <w:jc w:val="right"/>
      </w:pPr>
      <w:r>
        <w:rPr>
          <w:sz w:val="20"/>
        </w:rPr>
        <w:t xml:space="preserve">(приложение)</w:t>
      </w:r>
    </w:p>
    <w:p>
      <w:pPr>
        <w:pStyle w:val="0"/>
      </w:pPr>
      <w:r>
        <w:rPr>
          <w:sz w:val="20"/>
        </w:rPr>
      </w:r>
    </w:p>
    <w:bookmarkStart w:id="35" w:name="P35"/>
    <w:bookmarkEnd w:id="35"/>
    <w:p>
      <w:pPr>
        <w:pStyle w:val="2"/>
        <w:jc w:val="center"/>
      </w:pPr>
      <w:r>
        <w:rPr>
          <w:sz w:val="20"/>
        </w:rPr>
        <w:t xml:space="preserve">ПОЛОЖЕНИЕ</w:t>
      </w:r>
    </w:p>
    <w:p>
      <w:pPr>
        <w:pStyle w:val="2"/>
        <w:jc w:val="center"/>
      </w:pPr>
      <w:r>
        <w:rPr>
          <w:sz w:val="20"/>
        </w:rPr>
        <w:t xml:space="preserve">ОБ ОБЩЕСТВЕННОМ СОВЕТЕ ПРИ ГЛАВНОМ УПРАВЛЕНИИ</w:t>
      </w:r>
    </w:p>
    <w:p>
      <w:pPr>
        <w:pStyle w:val="2"/>
        <w:jc w:val="center"/>
      </w:pPr>
      <w:r>
        <w:rPr>
          <w:sz w:val="20"/>
        </w:rPr>
        <w:t xml:space="preserve">ГОСУДАРСТВЕННОЙ ИНСПЕКЦИИ ПО НАДЗОРУ ЗА ТЕХНИЧЕСКИМ</w:t>
      </w:r>
    </w:p>
    <w:p>
      <w:pPr>
        <w:pStyle w:val="2"/>
        <w:jc w:val="center"/>
      </w:pPr>
      <w:r>
        <w:rPr>
          <w:sz w:val="20"/>
        </w:rPr>
        <w:t xml:space="preserve">СОСТОЯНИЕМ САМОХОДНЫХ МАШИН И ДРУГИХ ВИДОВ ТЕХНИКИ</w:t>
      </w:r>
    </w:p>
    <w:p>
      <w:pPr>
        <w:pStyle w:val="2"/>
        <w:jc w:val="center"/>
      </w:pPr>
      <w:r>
        <w:rPr>
          <w:sz w:val="20"/>
        </w:rPr>
        <w:t xml:space="preserve">ВОЛОГОДСКОЙ ОБЛАСТИ (ДАЛЕЕ - ПОЛОЖЕНИЕ)</w:t>
      </w:r>
    </w:p>
    <w:p>
      <w:pPr>
        <w:pStyle w:val="0"/>
      </w:pPr>
      <w:r>
        <w:rPr>
          <w:sz w:val="20"/>
        </w:rPr>
      </w:r>
    </w:p>
    <w:p>
      <w:pPr>
        <w:pStyle w:val="2"/>
        <w:outlineLvl w:val="1"/>
        <w:jc w:val="center"/>
      </w:pPr>
      <w:r>
        <w:rPr>
          <w:sz w:val="20"/>
        </w:rPr>
        <w:t xml:space="preserve">1. Общие положения</w:t>
      </w:r>
    </w:p>
    <w:p>
      <w:pPr>
        <w:pStyle w:val="0"/>
      </w:pPr>
      <w:r>
        <w:rPr>
          <w:sz w:val="20"/>
        </w:rPr>
      </w:r>
    </w:p>
    <w:p>
      <w:pPr>
        <w:pStyle w:val="0"/>
        <w:ind w:firstLine="540"/>
        <w:jc w:val="both"/>
      </w:pPr>
      <w:r>
        <w:rPr>
          <w:sz w:val="20"/>
        </w:rPr>
        <w:t xml:space="preserve">1.1. Настоящее Положение определяет порядок формирования и деятельности Общественного совета при Главном управлении государственной инспекции по надзору за техническим состоянием самоходных машин и других видов техники Вологодской области (далее - Общественный совет).</w:t>
      </w:r>
    </w:p>
    <w:p>
      <w:pPr>
        <w:pStyle w:val="0"/>
        <w:spacing w:before="200" w:lineRule="auto"/>
        <w:ind w:firstLine="540"/>
        <w:jc w:val="both"/>
      </w:pPr>
      <w:r>
        <w:rPr>
          <w:sz w:val="20"/>
        </w:rPr>
        <w:t xml:space="preserve">1.2. Общественный совет является постоянно действующим совещательным органом, образованным в целях согласования общественно значимых интересов граждан Российской Федерации и находящихся на территории области иностранных граждан и лиц без гражданства, институтов гражданского общества при выработке и реализации решений по наиболее важным вопросам в сфере деятельности Главного управления государственной инспекции по надзору за техническим состоянием самоходных машин и других видов техники Вологодской области (далее - Главное управление).</w:t>
      </w:r>
    </w:p>
    <w:p>
      <w:pPr>
        <w:pStyle w:val="0"/>
        <w:spacing w:before="200" w:lineRule="auto"/>
        <w:ind w:firstLine="540"/>
        <w:jc w:val="both"/>
      </w:pPr>
      <w:r>
        <w:rPr>
          <w:sz w:val="20"/>
        </w:rPr>
        <w:t xml:space="preserve">1.3. В своей деятельности Общественный совет руководствуется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иными нормативными правовыми актами Российской Федерации, нормативными правовыми актами Вологодской области, а также настоящим Положением.</w:t>
      </w:r>
    </w:p>
    <w:p>
      <w:pPr>
        <w:pStyle w:val="0"/>
        <w:spacing w:before="200" w:lineRule="auto"/>
        <w:ind w:firstLine="540"/>
        <w:jc w:val="both"/>
      </w:pPr>
      <w:r>
        <w:rPr>
          <w:sz w:val="20"/>
        </w:rPr>
        <w:t xml:space="preserve">1.4. Общественный совет при осуществлении возложенных на него задач взаимодействует с территориальными органами федеральных органов исполнительной государственной власти, органами государственной власти области (далее - органы государственной власти), органами местного самоуправления муниципальных образований области (далее - органы местного самоуправления), иными совещательными и консультативными органами Вологодской области, общественными объединениями, экспертными сообществами и другими организациями.</w:t>
      </w:r>
    </w:p>
    <w:p>
      <w:pPr>
        <w:pStyle w:val="0"/>
        <w:spacing w:before="200" w:lineRule="auto"/>
        <w:ind w:firstLine="540"/>
        <w:jc w:val="both"/>
      </w:pPr>
      <w:r>
        <w:rPr>
          <w:sz w:val="20"/>
        </w:rPr>
        <w:t xml:space="preserve">1.5. Решения Общественного совета носят рекомендательный характер.</w:t>
      </w:r>
    </w:p>
    <w:p>
      <w:pPr>
        <w:pStyle w:val="0"/>
        <w:spacing w:before="200" w:lineRule="auto"/>
        <w:ind w:firstLine="540"/>
        <w:jc w:val="both"/>
      </w:pPr>
      <w:r>
        <w:rPr>
          <w:sz w:val="20"/>
        </w:rPr>
        <w:t xml:space="preserve">1.6. Члены Общественного совета исполняют свои обязанности на общественных началах.</w:t>
      </w:r>
    </w:p>
    <w:p>
      <w:pPr>
        <w:pStyle w:val="0"/>
      </w:pPr>
      <w:r>
        <w:rPr>
          <w:sz w:val="20"/>
        </w:rPr>
      </w:r>
    </w:p>
    <w:p>
      <w:pPr>
        <w:pStyle w:val="2"/>
        <w:outlineLvl w:val="1"/>
        <w:jc w:val="center"/>
      </w:pPr>
      <w:r>
        <w:rPr>
          <w:sz w:val="20"/>
        </w:rPr>
        <w:t xml:space="preserve">2. Основные задачи Общественного совета</w:t>
      </w:r>
    </w:p>
    <w:p>
      <w:pPr>
        <w:pStyle w:val="0"/>
      </w:pPr>
      <w:r>
        <w:rPr>
          <w:sz w:val="20"/>
        </w:rPr>
      </w:r>
    </w:p>
    <w:p>
      <w:pPr>
        <w:pStyle w:val="0"/>
        <w:ind w:firstLine="540"/>
        <w:jc w:val="both"/>
      </w:pPr>
      <w:r>
        <w:rPr>
          <w:sz w:val="20"/>
        </w:rPr>
        <w:t xml:space="preserve">2.1. Основными задачами Общественного совета являются:</w:t>
      </w:r>
    </w:p>
    <w:p>
      <w:pPr>
        <w:pStyle w:val="0"/>
        <w:spacing w:before="200" w:lineRule="auto"/>
        <w:ind w:firstLine="540"/>
        <w:jc w:val="both"/>
      </w:pPr>
      <w:r>
        <w:rPr>
          <w:sz w:val="20"/>
        </w:rPr>
        <w:t xml:space="preserve">мониторинг правоприменительной практики в сфере деятельности Главного управления;</w:t>
      </w:r>
    </w:p>
    <w:p>
      <w:pPr>
        <w:pStyle w:val="0"/>
        <w:spacing w:before="200" w:lineRule="auto"/>
        <w:ind w:firstLine="540"/>
        <w:jc w:val="both"/>
      </w:pPr>
      <w:r>
        <w:rPr>
          <w:sz w:val="20"/>
        </w:rPr>
        <w:t xml:space="preserve">совершенствование организации деятельности Главного управления, в том числе по взаимодействию с гражданами Российской Федерации, институтами гражданского общества;</w:t>
      </w:r>
    </w:p>
    <w:p>
      <w:pPr>
        <w:pStyle w:val="0"/>
        <w:spacing w:before="200" w:lineRule="auto"/>
        <w:ind w:firstLine="540"/>
        <w:jc w:val="both"/>
      </w:pPr>
      <w:r>
        <w:rPr>
          <w:sz w:val="20"/>
        </w:rPr>
        <w:t xml:space="preserve">информирование общественности по основным направлениям деятельности Главного управления;</w:t>
      </w:r>
    </w:p>
    <w:p>
      <w:pPr>
        <w:pStyle w:val="0"/>
        <w:spacing w:before="200" w:lineRule="auto"/>
        <w:ind w:firstLine="540"/>
        <w:jc w:val="both"/>
      </w:pPr>
      <w:r>
        <w:rPr>
          <w:sz w:val="20"/>
        </w:rPr>
        <w:t xml:space="preserve">участие в осуществлении общественного контроля за деятельностью Главного управления;</w:t>
      </w:r>
    </w:p>
    <w:p>
      <w:pPr>
        <w:pStyle w:val="0"/>
        <w:spacing w:before="200" w:lineRule="auto"/>
        <w:ind w:firstLine="540"/>
        <w:jc w:val="both"/>
      </w:pPr>
      <w:r>
        <w:rPr>
          <w:sz w:val="20"/>
        </w:rPr>
        <w:t xml:space="preserve">подготовка рекомендаций и предложений начальнику Главного управления по вопросам совершенствования деятельности Главного управления;</w:t>
      </w:r>
    </w:p>
    <w:p>
      <w:pPr>
        <w:pStyle w:val="0"/>
        <w:spacing w:before="200" w:lineRule="auto"/>
        <w:ind w:firstLine="540"/>
        <w:jc w:val="both"/>
      </w:pPr>
      <w:r>
        <w:rPr>
          <w:sz w:val="20"/>
        </w:rPr>
        <w:t xml:space="preserve">предварительное общественное обсуждение нормативных правовых актов и иных документов, включая программные, разрабатываемых Главным управлением, которые не могут быть приняты без предварительного общественного обсуждения на заседаниях Общественного совета.</w:t>
      </w:r>
    </w:p>
    <w:p>
      <w:pPr>
        <w:pStyle w:val="0"/>
      </w:pPr>
      <w:r>
        <w:rPr>
          <w:sz w:val="20"/>
        </w:rPr>
      </w:r>
    </w:p>
    <w:p>
      <w:pPr>
        <w:pStyle w:val="2"/>
        <w:outlineLvl w:val="1"/>
        <w:jc w:val="center"/>
      </w:pPr>
      <w:r>
        <w:rPr>
          <w:sz w:val="20"/>
        </w:rPr>
        <w:t xml:space="preserve">3. Полномочия Общественного совета</w:t>
      </w:r>
    </w:p>
    <w:p>
      <w:pPr>
        <w:pStyle w:val="0"/>
      </w:pPr>
      <w:r>
        <w:rPr>
          <w:sz w:val="20"/>
        </w:rPr>
      </w:r>
    </w:p>
    <w:p>
      <w:pPr>
        <w:pStyle w:val="0"/>
        <w:ind w:firstLine="540"/>
        <w:jc w:val="both"/>
      </w:pPr>
      <w:r>
        <w:rPr>
          <w:sz w:val="20"/>
        </w:rPr>
        <w:t xml:space="preserve">3.1. Для решения возложенных задач Общественный совет осуществляет следующие полномочия:</w:t>
      </w:r>
    </w:p>
    <w:p>
      <w:pPr>
        <w:pStyle w:val="0"/>
        <w:spacing w:before="200" w:lineRule="auto"/>
        <w:ind w:firstLine="540"/>
        <w:jc w:val="both"/>
      </w:pPr>
      <w:r>
        <w:rPr>
          <w:sz w:val="20"/>
        </w:rPr>
        <w:t xml:space="preserve">участвует по вопросам, относящимся к задачам Общественного совета, в совещаниях, конференциях и семинарах, иных мероприятиях, проводимых Главным управлением, а также мероприятиях, проводимых государственными органами области, органами местного самоуправления области, общественными объединениями и иными организациями по согласованию с указанными органами и организациями;</w:t>
      </w:r>
    </w:p>
    <w:p>
      <w:pPr>
        <w:pStyle w:val="0"/>
        <w:spacing w:before="200" w:lineRule="auto"/>
        <w:ind w:firstLine="540"/>
        <w:jc w:val="both"/>
      </w:pPr>
      <w:r>
        <w:rPr>
          <w:sz w:val="20"/>
        </w:rPr>
        <w:t xml:space="preserve">разрабатывает предложения по организации взаимодействия Главного управления с гражданами Российской Федерации и находящимися на территории области иностранными гражданами и лицами без гражданства, а также институтами гражданского общества;</w:t>
      </w:r>
    </w:p>
    <w:p>
      <w:pPr>
        <w:pStyle w:val="0"/>
        <w:spacing w:before="200" w:lineRule="auto"/>
        <w:ind w:firstLine="540"/>
        <w:jc w:val="both"/>
      </w:pPr>
      <w:r>
        <w:rPr>
          <w:sz w:val="20"/>
        </w:rPr>
        <w:t xml:space="preserve">участвует в осуществлении мониторинга правоприменительной практики в сфере деятельности Главного управления, разрабатывает предложения по совершенствованию законодательства в сфере деятельности Главного управления;</w:t>
      </w:r>
    </w:p>
    <w:p>
      <w:pPr>
        <w:pStyle w:val="0"/>
        <w:spacing w:before="200" w:lineRule="auto"/>
        <w:ind w:firstLine="540"/>
        <w:jc w:val="both"/>
      </w:pPr>
      <w:r>
        <w:rPr>
          <w:sz w:val="20"/>
        </w:rPr>
        <w:t xml:space="preserve">проводит с использованием различных форм общественное обсуждение общественно важных вопросов деятельности Главного управления;</w:t>
      </w:r>
    </w:p>
    <w:p>
      <w:pPr>
        <w:pStyle w:val="0"/>
        <w:spacing w:before="200" w:lineRule="auto"/>
        <w:ind w:firstLine="540"/>
        <w:jc w:val="both"/>
      </w:pPr>
      <w:r>
        <w:rPr>
          <w:sz w:val="20"/>
        </w:rPr>
        <w:t xml:space="preserve">принимает участие в работе конкурсных и аттестационных комиссий Главного управления, а также комиссии по соблюдению требований к служебному поведению государственных гражданских служащих в Главного управления и урегулированию конфликта интересов;</w:t>
      </w:r>
    </w:p>
    <w:p>
      <w:pPr>
        <w:pStyle w:val="0"/>
        <w:spacing w:before="200" w:lineRule="auto"/>
        <w:ind w:firstLine="540"/>
        <w:jc w:val="both"/>
      </w:pPr>
      <w:r>
        <w:rPr>
          <w:sz w:val="20"/>
        </w:rPr>
        <w:t xml:space="preserve">рассматривает проекты нормативных правовых актов и иных документов, включая программные, разрабатываемые Главным управлением, подлежащие предварительному обсуждению в соответствии с </w:t>
      </w:r>
      <w:hyperlink w:history="0" r:id="rId12" w:tooltip="Постановление Губернатора Вологодской области от 06.06.2013 N 249 (ред. от 16.10.2024) &quot;О составе нормативных правовых актов и иных документов, включая программные, разрабатываемые исполнительными органами области, которые не могут быть приняты без предварительного обсуждения на заседаниях общественных советов при этих исполнительных органах области&quot; {КонсультантПлюс}">
        <w:r>
          <w:rPr>
            <w:sz w:val="20"/>
            <w:color w:val="0000ff"/>
          </w:rPr>
          <w:t xml:space="preserve">постановлением</w:t>
        </w:r>
      </w:hyperlink>
      <w:r>
        <w:rPr>
          <w:sz w:val="20"/>
        </w:rPr>
        <w:t xml:space="preserve"> Губернатора области от 6 июня 2013 года N 249 "О составе нормативных правовых актов и иных документов, включая программные, разрабатываемые органами исполнительной государственной власти области, которые не могут быть приняты без предварительного обсуждения на заседаниях общественных советов при этих органах исполнительной государственной власти области", готовит предложения и рекомендации по результатам обсуждения;</w:t>
      </w:r>
    </w:p>
    <w:p>
      <w:pPr>
        <w:pStyle w:val="0"/>
        <w:spacing w:before="200" w:lineRule="auto"/>
        <w:ind w:firstLine="540"/>
        <w:jc w:val="both"/>
      </w:pPr>
      <w:r>
        <w:rPr>
          <w:sz w:val="20"/>
        </w:rPr>
        <w:t xml:space="preserve">участвует в осуществлении общественного контроля за деятельностью Главного управления в формах, предусмотренных федеральными законами, законами и иными нормативными правовыми актами Вологодской области, настоящим Положением;</w:t>
      </w:r>
    </w:p>
    <w:p>
      <w:pPr>
        <w:pStyle w:val="0"/>
        <w:spacing w:before="200" w:lineRule="auto"/>
        <w:ind w:firstLine="540"/>
        <w:jc w:val="both"/>
      </w:pPr>
      <w:r>
        <w:rPr>
          <w:sz w:val="20"/>
        </w:rPr>
        <w:t xml:space="preserve">направляет начальнику Главного управления предложения по совершенствованию законодательства в сфере деятельности Главного управления;</w:t>
      </w:r>
    </w:p>
    <w:p>
      <w:pPr>
        <w:pStyle w:val="0"/>
        <w:spacing w:before="200" w:lineRule="auto"/>
        <w:ind w:firstLine="540"/>
        <w:jc w:val="both"/>
      </w:pPr>
      <w:r>
        <w:rPr>
          <w:sz w:val="20"/>
        </w:rPr>
        <w:t xml:space="preserve">направляет начальнику Главного управления предложения и рекомендации по совершенствованию деятельности Главного управления;</w:t>
      </w:r>
    </w:p>
    <w:p>
      <w:pPr>
        <w:pStyle w:val="0"/>
        <w:spacing w:before="200" w:lineRule="auto"/>
        <w:ind w:firstLine="540"/>
        <w:jc w:val="both"/>
      </w:pPr>
      <w:r>
        <w:rPr>
          <w:sz w:val="20"/>
        </w:rPr>
        <w:t xml:space="preserve">рассматривает годовые отчеты о ходе реализации государственных программ, в том числе в части установления сроков их рассмотрения;</w:t>
      </w:r>
    </w:p>
    <w:p>
      <w:pPr>
        <w:pStyle w:val="0"/>
        <w:spacing w:before="200" w:lineRule="auto"/>
        <w:ind w:firstLine="540"/>
        <w:jc w:val="both"/>
      </w:pPr>
      <w:r>
        <w:rPr>
          <w:sz w:val="20"/>
        </w:rPr>
        <w:t xml:space="preserve">осуществляет оценку эффективности организации и функционирования в Главном управлении антимонопольного комплаенса;</w:t>
      </w:r>
    </w:p>
    <w:p>
      <w:pPr>
        <w:pStyle w:val="0"/>
        <w:spacing w:before="200" w:lineRule="auto"/>
        <w:ind w:firstLine="540"/>
        <w:jc w:val="both"/>
      </w:pPr>
      <w:r>
        <w:rPr>
          <w:sz w:val="20"/>
        </w:rPr>
        <w:t xml:space="preserve">рассматривает и утверждает доклад об антимонопольном комплаенсе.</w:t>
      </w:r>
    </w:p>
    <w:p>
      <w:pPr>
        <w:pStyle w:val="0"/>
        <w:spacing w:before="200" w:lineRule="auto"/>
        <w:ind w:firstLine="540"/>
        <w:jc w:val="both"/>
      </w:pPr>
      <w:r>
        <w:rPr>
          <w:sz w:val="20"/>
        </w:rPr>
        <w:t xml:space="preserve">3.2. В целях реализации полномочий Общественный совет:</w:t>
      </w:r>
    </w:p>
    <w:p>
      <w:pPr>
        <w:pStyle w:val="0"/>
        <w:spacing w:before="200" w:lineRule="auto"/>
        <w:ind w:firstLine="540"/>
        <w:jc w:val="both"/>
      </w:pPr>
      <w:r>
        <w:rPr>
          <w:sz w:val="20"/>
        </w:rPr>
        <w:t xml:space="preserve">создает рабочие группы для подготовки материалов на заседания Общественного совета;</w:t>
      </w:r>
    </w:p>
    <w:p>
      <w:pPr>
        <w:pStyle w:val="0"/>
        <w:spacing w:before="200" w:lineRule="auto"/>
        <w:ind w:firstLine="540"/>
        <w:jc w:val="both"/>
      </w:pPr>
      <w:r>
        <w:rPr>
          <w:sz w:val="20"/>
        </w:rPr>
        <w:t xml:space="preserve">запрашивает у органов государственной власти области, органов местного самоуправления, организаций и учреждений, иных институтов гражданского общества материалы и документы, необходимые для деятельности Общественного совета;</w:t>
      </w:r>
    </w:p>
    <w:p>
      <w:pPr>
        <w:pStyle w:val="0"/>
        <w:spacing w:before="200" w:lineRule="auto"/>
        <w:ind w:firstLine="540"/>
        <w:jc w:val="both"/>
      </w:pPr>
      <w:r>
        <w:rPr>
          <w:sz w:val="20"/>
        </w:rPr>
        <w:t xml:space="preserve">приглашает на свои заседания представителей органов государственной власти области, органов местного самоуправления, представителей институтов гражданского общества и иных лиц, участие которых необходимо при обсуждении вопросов, вынесенных на заседание Общественного совета;</w:t>
      </w:r>
    </w:p>
    <w:p>
      <w:pPr>
        <w:pStyle w:val="0"/>
        <w:spacing w:before="200" w:lineRule="auto"/>
        <w:ind w:firstLine="540"/>
        <w:jc w:val="both"/>
      </w:pPr>
      <w:r>
        <w:rPr>
          <w:sz w:val="20"/>
        </w:rPr>
        <w:t xml:space="preserve">привлекает для осуществления своих полномочий специалистов и экспертов, обладающих знаниями и навыками в определенных отраслях;</w:t>
      </w:r>
    </w:p>
    <w:p>
      <w:pPr>
        <w:pStyle w:val="0"/>
        <w:spacing w:before="200" w:lineRule="auto"/>
        <w:ind w:firstLine="540"/>
        <w:jc w:val="both"/>
      </w:pPr>
      <w:r>
        <w:rPr>
          <w:sz w:val="20"/>
        </w:rPr>
        <w:t xml:space="preserve">направляет своих представителей для участия в совещаниях, конференциях и семинарах, проводимых Главным управлением, институтами гражданского общества по вопросам, относящимся к полномочиям Общественного совета.</w:t>
      </w:r>
    </w:p>
    <w:p>
      <w:pPr>
        <w:pStyle w:val="0"/>
        <w:spacing w:before="200" w:lineRule="auto"/>
        <w:ind w:firstLine="540"/>
        <w:jc w:val="both"/>
      </w:pPr>
      <w:r>
        <w:rPr>
          <w:sz w:val="20"/>
        </w:rPr>
        <w:t xml:space="preserve">3.3. Члены Общественного совета имеют право:</w:t>
      </w:r>
    </w:p>
    <w:p>
      <w:pPr>
        <w:pStyle w:val="0"/>
        <w:spacing w:before="200" w:lineRule="auto"/>
        <w:ind w:firstLine="540"/>
        <w:jc w:val="both"/>
      </w:pPr>
      <w:r>
        <w:rPr>
          <w:sz w:val="20"/>
        </w:rPr>
        <w:t xml:space="preserve">вносить предложения, замечания и поправки к проектам планов работы Общественного совета, повестке дня и порядку ведения его заседаний; знакомиться с представленными в Общественный совет документами; высказывать свое мнение по существу обсуждаемых вопросов, давать замечания и предложения по проектам принимаемых решений и протоколам заседаний Общественного совета;</w:t>
      </w:r>
    </w:p>
    <w:p>
      <w:pPr>
        <w:pStyle w:val="0"/>
        <w:spacing w:before="200" w:lineRule="auto"/>
        <w:ind w:firstLine="540"/>
        <w:jc w:val="both"/>
      </w:pPr>
      <w:r>
        <w:rPr>
          <w:sz w:val="20"/>
        </w:rPr>
        <w:t xml:space="preserve">участвовать в организации и проведении "круглых столов", конференций и семинаров, а также иных мероприятий по вопросам, относящимся к полномочиям Общественного совета;</w:t>
      </w:r>
    </w:p>
    <w:p>
      <w:pPr>
        <w:pStyle w:val="0"/>
        <w:spacing w:before="200" w:lineRule="auto"/>
        <w:ind w:firstLine="540"/>
        <w:jc w:val="both"/>
      </w:pPr>
      <w:r>
        <w:rPr>
          <w:sz w:val="20"/>
        </w:rPr>
        <w:t xml:space="preserve">знакомиться с результатами рассмотрения обращений граждан и организаций в Главном управлении, если это не противоречит требованиям законодательства Российской Федерации о защите государственной и иной охраняемой законом тайны, а также не нарушает права граждан и организаций;</w:t>
      </w:r>
    </w:p>
    <w:p>
      <w:pPr>
        <w:pStyle w:val="0"/>
        <w:spacing w:before="200" w:lineRule="auto"/>
        <w:ind w:firstLine="540"/>
        <w:jc w:val="both"/>
      </w:pPr>
      <w:r>
        <w:rPr>
          <w:sz w:val="20"/>
        </w:rPr>
        <w:t xml:space="preserve">использовать в своей работе информацию, аналитические и иные материалы, полученные в результате общественной деятельности.</w:t>
      </w:r>
    </w:p>
    <w:p>
      <w:pPr>
        <w:pStyle w:val="0"/>
      </w:pPr>
      <w:r>
        <w:rPr>
          <w:sz w:val="20"/>
        </w:rPr>
      </w:r>
    </w:p>
    <w:bookmarkStart w:id="87" w:name="P87"/>
    <w:bookmarkEnd w:id="87"/>
    <w:p>
      <w:pPr>
        <w:pStyle w:val="2"/>
        <w:outlineLvl w:val="1"/>
        <w:jc w:val="center"/>
      </w:pPr>
      <w:r>
        <w:rPr>
          <w:sz w:val="20"/>
        </w:rPr>
        <w:t xml:space="preserve">4. Порядок формирования Общественного совета</w:t>
      </w:r>
    </w:p>
    <w:p>
      <w:pPr>
        <w:pStyle w:val="0"/>
      </w:pPr>
      <w:r>
        <w:rPr>
          <w:sz w:val="20"/>
        </w:rPr>
      </w:r>
    </w:p>
    <w:p>
      <w:pPr>
        <w:pStyle w:val="0"/>
        <w:ind w:firstLine="540"/>
        <w:jc w:val="both"/>
      </w:pPr>
      <w:r>
        <w:rPr>
          <w:sz w:val="20"/>
        </w:rPr>
        <w:t xml:space="preserve">4.1. Состав Общественного совета утверждается распоряжением начальника Главного управления.</w:t>
      </w:r>
    </w:p>
    <w:p>
      <w:pPr>
        <w:pStyle w:val="0"/>
        <w:spacing w:before="200" w:lineRule="auto"/>
        <w:ind w:firstLine="540"/>
        <w:jc w:val="both"/>
      </w:pPr>
      <w:r>
        <w:rPr>
          <w:sz w:val="20"/>
        </w:rPr>
        <w:t xml:space="preserve">4.2. Общественный совет формируется сроком на четыре года (срок полномочий) в количестве не менее 7 человек и не более 9 человек (общее число членов Общественного совета).</w:t>
      </w:r>
    </w:p>
    <w:p>
      <w:pPr>
        <w:pStyle w:val="0"/>
        <w:spacing w:before="200" w:lineRule="auto"/>
        <w:ind w:firstLine="540"/>
        <w:jc w:val="both"/>
      </w:pPr>
      <w:r>
        <w:rPr>
          <w:sz w:val="20"/>
        </w:rPr>
        <w:t xml:space="preserve">Срок полномочий Общественного совета исчисляется со дня проведения его первого заседания.</w:t>
      </w:r>
    </w:p>
    <w:p>
      <w:pPr>
        <w:pStyle w:val="0"/>
        <w:spacing w:before="200" w:lineRule="auto"/>
        <w:ind w:firstLine="540"/>
        <w:jc w:val="both"/>
      </w:pPr>
      <w:r>
        <w:rPr>
          <w:sz w:val="20"/>
        </w:rPr>
        <w:t xml:space="preserve">4.3. Отбор кандидатов в члены Общественного совета осуществляется на принципах гласности и добровольности участия в деятельности Общественного совета.</w:t>
      </w:r>
    </w:p>
    <w:p>
      <w:pPr>
        <w:pStyle w:val="0"/>
        <w:spacing w:before="200" w:lineRule="auto"/>
        <w:ind w:firstLine="540"/>
        <w:jc w:val="both"/>
      </w:pPr>
      <w:r>
        <w:rPr>
          <w:sz w:val="20"/>
        </w:rPr>
        <w:t xml:space="preserve">4.4. Общественный совет формируется из числа граждан Российской Федерации, постоянно проживающих на территории области, достигших возраста восемнадцати лет, обладающих знаниями и навыками, позволяющими решать задачи, возложенные на Общественный совет в сфере деятельности Главного управления.</w:t>
      </w:r>
    </w:p>
    <w:p>
      <w:pPr>
        <w:pStyle w:val="0"/>
        <w:spacing w:before="200" w:lineRule="auto"/>
        <w:ind w:firstLine="540"/>
        <w:jc w:val="both"/>
      </w:pPr>
      <w:r>
        <w:rPr>
          <w:sz w:val="20"/>
        </w:rPr>
        <w:t xml:space="preserve">Требования, предъявляемые к кандидатам:</w:t>
      </w:r>
    </w:p>
    <w:p>
      <w:pPr>
        <w:pStyle w:val="0"/>
        <w:spacing w:before="200" w:lineRule="auto"/>
        <w:ind w:firstLine="540"/>
        <w:jc w:val="both"/>
      </w:pPr>
      <w:r>
        <w:rPr>
          <w:sz w:val="20"/>
        </w:rPr>
        <w:t xml:space="preserve">высшее профессиональное образование;</w:t>
      </w:r>
    </w:p>
    <w:p>
      <w:pPr>
        <w:pStyle w:val="0"/>
        <w:spacing w:before="200" w:lineRule="auto"/>
        <w:ind w:firstLine="540"/>
        <w:jc w:val="both"/>
      </w:pPr>
      <w:r>
        <w:rPr>
          <w:sz w:val="20"/>
        </w:rPr>
        <w:t xml:space="preserve">стаж работы по специальности не менее 2 лет.</w:t>
      </w:r>
    </w:p>
    <w:p>
      <w:pPr>
        <w:pStyle w:val="0"/>
        <w:spacing w:before="200" w:lineRule="auto"/>
        <w:ind w:firstLine="540"/>
        <w:jc w:val="both"/>
      </w:pPr>
      <w:r>
        <w:rPr>
          <w:sz w:val="20"/>
        </w:rPr>
        <w:t xml:space="preserve">4.5. Порядок формирования общественного совета включает следующие этапы:</w:t>
      </w:r>
    </w:p>
    <w:p>
      <w:pPr>
        <w:pStyle w:val="0"/>
        <w:spacing w:before="200" w:lineRule="auto"/>
        <w:ind w:firstLine="540"/>
        <w:jc w:val="both"/>
      </w:pPr>
      <w:r>
        <w:rPr>
          <w:sz w:val="20"/>
        </w:rPr>
        <w:t xml:space="preserve">4.5.1. На официальном сайте Главного управления в информационно-телекоммуникационной сети "Интернет" размещается объявление о формировании Общественного совета и начале срока подачи документов от кандидатов на включение в состав Общественного совета (далее - кандидаты).</w:t>
      </w:r>
    </w:p>
    <w:p>
      <w:pPr>
        <w:pStyle w:val="0"/>
        <w:spacing w:before="200" w:lineRule="auto"/>
        <w:ind w:firstLine="540"/>
        <w:jc w:val="both"/>
      </w:pPr>
      <w:r>
        <w:rPr>
          <w:sz w:val="20"/>
        </w:rPr>
        <w:t xml:space="preserve">4.5.2. Объявление о формировании Общественного совета должно содержать информацию о:</w:t>
      </w:r>
    </w:p>
    <w:p>
      <w:pPr>
        <w:pStyle w:val="0"/>
        <w:spacing w:before="200" w:lineRule="auto"/>
        <w:ind w:firstLine="540"/>
        <w:jc w:val="both"/>
      </w:pPr>
      <w:r>
        <w:rPr>
          <w:sz w:val="20"/>
        </w:rPr>
        <w:t xml:space="preserve">начале приема документов от кандидатов;</w:t>
      </w:r>
    </w:p>
    <w:p>
      <w:pPr>
        <w:pStyle w:val="0"/>
        <w:spacing w:before="200" w:lineRule="auto"/>
        <w:ind w:firstLine="540"/>
        <w:jc w:val="both"/>
      </w:pPr>
      <w:r>
        <w:rPr>
          <w:sz w:val="20"/>
        </w:rPr>
        <w:t xml:space="preserve">месте и времени приема документов от кандидатов;</w:t>
      </w:r>
    </w:p>
    <w:p>
      <w:pPr>
        <w:pStyle w:val="0"/>
        <w:spacing w:before="200" w:lineRule="auto"/>
        <w:ind w:firstLine="540"/>
        <w:jc w:val="both"/>
      </w:pPr>
      <w:r>
        <w:rPr>
          <w:sz w:val="20"/>
        </w:rPr>
        <w:t xml:space="preserve">форме направления информации от кандидатов в члены Общественного совета;</w:t>
      </w:r>
    </w:p>
    <w:p>
      <w:pPr>
        <w:pStyle w:val="0"/>
        <w:spacing w:before="200" w:lineRule="auto"/>
        <w:ind w:firstLine="540"/>
        <w:jc w:val="both"/>
      </w:pPr>
      <w:r>
        <w:rPr>
          <w:sz w:val="20"/>
        </w:rPr>
        <w:t xml:space="preserve">сроках и способах направления информации от кандидатов в члены Общественного совета.</w:t>
      </w:r>
    </w:p>
    <w:p>
      <w:pPr>
        <w:pStyle w:val="0"/>
        <w:spacing w:before="200" w:lineRule="auto"/>
        <w:ind w:firstLine="540"/>
        <w:jc w:val="both"/>
      </w:pPr>
      <w:r>
        <w:rPr>
          <w:sz w:val="20"/>
        </w:rPr>
        <w:t xml:space="preserve">4.5.3. Кандидаты в члены Общественного совета в течение 15 рабочих дней со дня размещения объявления о начале формирования Общественного совета направляют в Главное управление </w:t>
      </w:r>
      <w:hyperlink w:history="0" w:anchor="P186" w:tooltip="АНКЕТА">
        <w:r>
          <w:rPr>
            <w:sz w:val="20"/>
            <w:color w:val="0000ff"/>
          </w:rPr>
          <w:t xml:space="preserve">анкеты</w:t>
        </w:r>
      </w:hyperlink>
      <w:r>
        <w:rPr>
          <w:sz w:val="20"/>
        </w:rPr>
        <w:t xml:space="preserve"> по форме согласно приложению 1 к настоящему Положению.</w:t>
      </w:r>
    </w:p>
    <w:p>
      <w:pPr>
        <w:pStyle w:val="0"/>
        <w:spacing w:before="200" w:lineRule="auto"/>
        <w:ind w:firstLine="540"/>
        <w:jc w:val="both"/>
      </w:pPr>
      <w:r>
        <w:rPr>
          <w:sz w:val="20"/>
        </w:rPr>
        <w:t xml:space="preserve">Анкета направляется в электронном виде по адресу: TehNadzor@gtn.gov35.ru или на бумажных носителях по адресу: г. Вологда, ул. Предтеченская, д. 19, кабинет 219. К анкете прилагается </w:t>
      </w:r>
      <w:hyperlink w:history="0" w:anchor="P272" w:tooltip="СОГЛАСИЕ">
        <w:r>
          <w:rPr>
            <w:sz w:val="20"/>
            <w:color w:val="0000ff"/>
          </w:rPr>
          <w:t xml:space="preserve">согласие</w:t>
        </w:r>
      </w:hyperlink>
      <w:r>
        <w:rPr>
          <w:sz w:val="20"/>
        </w:rPr>
        <w:t xml:space="preserve"> на обработку персональных данных по форме согласно приложению 2 к настоящему Положению.</w:t>
      </w:r>
    </w:p>
    <w:p>
      <w:pPr>
        <w:pStyle w:val="0"/>
        <w:spacing w:before="200" w:lineRule="auto"/>
        <w:ind w:firstLine="540"/>
        <w:jc w:val="both"/>
      </w:pPr>
      <w:r>
        <w:rPr>
          <w:sz w:val="20"/>
        </w:rPr>
        <w:t xml:space="preserve">4.5.4. В целях рассмотрения поступивших документов и формирования состава Общественного совета приказом Главного управления образуется комиссия по отбору кандидатов в члены Общественного совета (далее - комиссия) численностью не менее 5 человек.</w:t>
      </w:r>
    </w:p>
    <w:p>
      <w:pPr>
        <w:pStyle w:val="0"/>
        <w:spacing w:before="200" w:lineRule="auto"/>
        <w:ind w:firstLine="540"/>
        <w:jc w:val="both"/>
      </w:pPr>
      <w:r>
        <w:rPr>
          <w:sz w:val="20"/>
        </w:rPr>
        <w:t xml:space="preserve">Комиссия должна быть сформирована не позднее 10 рабочих дней со дня окончания приема анкет.</w:t>
      </w:r>
    </w:p>
    <w:p>
      <w:pPr>
        <w:pStyle w:val="0"/>
        <w:spacing w:before="200" w:lineRule="auto"/>
        <w:ind w:firstLine="540"/>
        <w:jc w:val="both"/>
      </w:pPr>
      <w:r>
        <w:rPr>
          <w:sz w:val="20"/>
        </w:rPr>
        <w:t xml:space="preserve">4.5.5. Комиссия рассматривает вес документы кандидатов, поданные в установленные сроки, осуществляет процедуру отбора и формирует предложения по включению лиц, соответствующих установленным требованиям к кандидатам, в состав Общественного совета.</w:t>
      </w:r>
    </w:p>
    <w:p>
      <w:pPr>
        <w:pStyle w:val="0"/>
        <w:spacing w:before="200" w:lineRule="auto"/>
        <w:ind w:firstLine="540"/>
        <w:jc w:val="both"/>
      </w:pPr>
      <w:r>
        <w:rPr>
          <w:sz w:val="20"/>
        </w:rPr>
        <w:t xml:space="preserve">Предложения по включению кандидатов в состав Общественного совета в течение 2-х дней направляются начальнику Главного управления для принятия соответствующего решения.</w:t>
      </w:r>
    </w:p>
    <w:p>
      <w:pPr>
        <w:pStyle w:val="0"/>
        <w:spacing w:before="200" w:lineRule="auto"/>
        <w:ind w:firstLine="540"/>
        <w:jc w:val="both"/>
      </w:pPr>
      <w:r>
        <w:rPr>
          <w:sz w:val="20"/>
        </w:rPr>
        <w:t xml:space="preserve">4.5.6. Начальником Главного управления в течение 2 рабочих дней со дня получения соответствующей информации принимается решение о направлении предложений кандидатам в члены Общественного совета о включении их в состав Общественного совета.</w:t>
      </w:r>
    </w:p>
    <w:bookmarkStart w:id="111" w:name="P111"/>
    <w:bookmarkEnd w:id="111"/>
    <w:p>
      <w:pPr>
        <w:pStyle w:val="0"/>
        <w:spacing w:before="200" w:lineRule="auto"/>
        <w:ind w:firstLine="540"/>
        <w:jc w:val="both"/>
      </w:pPr>
      <w:r>
        <w:rPr>
          <w:sz w:val="20"/>
        </w:rPr>
        <w:t xml:space="preserve">4.5.7. Кандидаты в члены Общественного совета, получившие предложение войти в состав Общественного совета, в течение 10 рабочих дней со дня получения такого предложения письменно уведомляют начальника Главного управления о своем согласии либо отказе войти в состав Общественного совета.</w:t>
      </w:r>
    </w:p>
    <w:p>
      <w:pPr>
        <w:pStyle w:val="0"/>
        <w:spacing w:before="200" w:lineRule="auto"/>
        <w:ind w:firstLine="540"/>
        <w:jc w:val="both"/>
      </w:pPr>
      <w:r>
        <w:rPr>
          <w:sz w:val="20"/>
        </w:rPr>
        <w:t xml:space="preserve">4.5.8. Проект приказа Главного управления об утверждении состава Общественного совета или включении нового члена в состав Общественного совета оформляется в течение 2 рабочих дней со дня истечения срока, установленного </w:t>
      </w:r>
      <w:hyperlink w:history="0" w:anchor="P111" w:tooltip="4.5.7. Кандидаты в члены Общественного совета, получившие предложение войти в состав Общественного совета, в течение 10 рабочих дней со дня получения такого предложения письменно уведомляют начальника Главного управления о своем согласии либо отказе войти в состав Общественного совета.">
        <w:r>
          <w:rPr>
            <w:sz w:val="20"/>
            <w:color w:val="0000ff"/>
          </w:rPr>
          <w:t xml:space="preserve">п. 4.5.7</w:t>
        </w:r>
      </w:hyperlink>
      <w:r>
        <w:rPr>
          <w:sz w:val="20"/>
        </w:rPr>
        <w:t xml:space="preserve"> настоящего Положения.</w:t>
      </w:r>
    </w:p>
    <w:p>
      <w:pPr>
        <w:pStyle w:val="0"/>
      </w:pPr>
      <w:r>
        <w:rPr>
          <w:sz w:val="20"/>
        </w:rPr>
      </w:r>
    </w:p>
    <w:p>
      <w:pPr>
        <w:pStyle w:val="2"/>
        <w:outlineLvl w:val="1"/>
        <w:jc w:val="center"/>
      </w:pPr>
      <w:r>
        <w:rPr>
          <w:sz w:val="20"/>
        </w:rPr>
        <w:t xml:space="preserve">5. Прекращение полномочий члена Общественного совета</w:t>
      </w:r>
    </w:p>
    <w:p>
      <w:pPr>
        <w:pStyle w:val="0"/>
      </w:pPr>
      <w:r>
        <w:rPr>
          <w:sz w:val="20"/>
        </w:rPr>
      </w:r>
    </w:p>
    <w:p>
      <w:pPr>
        <w:pStyle w:val="0"/>
        <w:ind w:firstLine="540"/>
        <w:jc w:val="both"/>
      </w:pPr>
      <w:r>
        <w:rPr>
          <w:sz w:val="20"/>
        </w:rPr>
        <w:t xml:space="preserve">5.1. Полномочия члена Общественного совета прекращаются по истечении срока полномочий Общественного совета.</w:t>
      </w:r>
    </w:p>
    <w:p>
      <w:pPr>
        <w:pStyle w:val="0"/>
        <w:spacing w:before="200" w:lineRule="auto"/>
        <w:ind w:firstLine="540"/>
        <w:jc w:val="both"/>
      </w:pPr>
      <w:r>
        <w:rPr>
          <w:sz w:val="20"/>
        </w:rPr>
        <w:t xml:space="preserve">5.2. Полномочия члена Общественного совета досрочно прекращаются в случаях:</w:t>
      </w:r>
    </w:p>
    <w:p>
      <w:pPr>
        <w:pStyle w:val="0"/>
        <w:spacing w:before="200" w:lineRule="auto"/>
        <w:ind w:firstLine="540"/>
        <w:jc w:val="both"/>
      </w:pPr>
      <w:r>
        <w:rPr>
          <w:sz w:val="20"/>
        </w:rPr>
        <w:t xml:space="preserve">письменного заявления о выходе из состава Общественного совета;</w:t>
      </w:r>
    </w:p>
    <w:p>
      <w:pPr>
        <w:pStyle w:val="0"/>
        <w:spacing w:before="200" w:lineRule="auto"/>
        <w:ind w:firstLine="540"/>
        <w:jc w:val="both"/>
      </w:pPr>
      <w:r>
        <w:rPr>
          <w:sz w:val="20"/>
        </w:rPr>
        <w:t xml:space="preserve">выезда за пределы территории области на постоянное место жительства;</w:t>
      </w:r>
    </w:p>
    <w:p>
      <w:pPr>
        <w:pStyle w:val="0"/>
        <w:spacing w:before="200" w:lineRule="auto"/>
        <w:ind w:firstLine="540"/>
        <w:jc w:val="both"/>
      </w:pPr>
      <w:r>
        <w:rPr>
          <w:sz w:val="20"/>
        </w:rPr>
        <w:t xml:space="preserve">утраты гражданства Российской Федерации, приобретения гражданства иностранного государства либо получения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w:t>
      </w:r>
    </w:p>
    <w:p>
      <w:pPr>
        <w:pStyle w:val="0"/>
        <w:spacing w:before="200" w:lineRule="auto"/>
        <w:ind w:firstLine="540"/>
        <w:jc w:val="both"/>
      </w:pPr>
      <w:r>
        <w:rPr>
          <w:sz w:val="20"/>
        </w:rPr>
        <w:t xml:space="preserve">вступления в законную силу вынесенного в отношении его обвинительного приговора суда;</w:t>
      </w:r>
    </w:p>
    <w:p>
      <w:pPr>
        <w:pStyle w:val="0"/>
        <w:spacing w:before="200" w:lineRule="auto"/>
        <w:ind w:firstLine="540"/>
        <w:jc w:val="both"/>
      </w:pPr>
      <w:r>
        <w:rPr>
          <w:sz w:val="20"/>
        </w:rPr>
        <w:t xml:space="preserve">признания судом безвестно отсутствующим, объявления умершим;</w:t>
      </w:r>
    </w:p>
    <w:p>
      <w:pPr>
        <w:pStyle w:val="0"/>
        <w:spacing w:before="200" w:lineRule="auto"/>
        <w:ind w:firstLine="540"/>
        <w:jc w:val="both"/>
      </w:pPr>
      <w:r>
        <w:rPr>
          <w:sz w:val="20"/>
        </w:rPr>
        <w:t xml:space="preserve">смерти.</w:t>
      </w:r>
    </w:p>
    <w:p>
      <w:pPr>
        <w:pStyle w:val="0"/>
        <w:spacing w:before="200" w:lineRule="auto"/>
        <w:ind w:firstLine="540"/>
        <w:jc w:val="both"/>
      </w:pPr>
      <w:r>
        <w:rPr>
          <w:sz w:val="20"/>
        </w:rPr>
        <w:t xml:space="preserve">5.3. Досрочное прекращение полномочий члена Общественного совета оформляется приказом Главного управления в течение 5 дней со дня подачи заявления о выходе из состава Общественного совета или со дня, когда стали известны обстоятельства, являющиеся основанием для досрочного прекращения полномочий.</w:t>
      </w:r>
    </w:p>
    <w:p>
      <w:pPr>
        <w:pStyle w:val="0"/>
        <w:spacing w:before="200" w:lineRule="auto"/>
        <w:ind w:firstLine="540"/>
        <w:jc w:val="both"/>
      </w:pPr>
      <w:r>
        <w:rPr>
          <w:sz w:val="20"/>
        </w:rPr>
        <w:t xml:space="preserve">5.4. В случае досрочного прекращения полномочий члена Общественного совета новый член Общественного совета вводится в его состав в порядке, предусмотренном </w:t>
      </w:r>
      <w:hyperlink w:history="0" w:anchor="P87" w:tooltip="4. Порядок формирования Общественного совета">
        <w:r>
          <w:rPr>
            <w:sz w:val="20"/>
            <w:color w:val="0000ff"/>
          </w:rPr>
          <w:t xml:space="preserve">разделом 4</w:t>
        </w:r>
      </w:hyperlink>
      <w:r>
        <w:rPr>
          <w:sz w:val="20"/>
        </w:rPr>
        <w:t xml:space="preserve"> настоящего Положения, в течение тридцати дней со дня прекращения полномочий.</w:t>
      </w:r>
    </w:p>
    <w:p>
      <w:pPr>
        <w:pStyle w:val="0"/>
      </w:pPr>
      <w:r>
        <w:rPr>
          <w:sz w:val="20"/>
        </w:rPr>
      </w:r>
    </w:p>
    <w:p>
      <w:pPr>
        <w:pStyle w:val="2"/>
        <w:outlineLvl w:val="1"/>
        <w:jc w:val="center"/>
      </w:pPr>
      <w:r>
        <w:rPr>
          <w:sz w:val="20"/>
        </w:rPr>
        <w:t xml:space="preserve">6. Состав и структура Общественного совета</w:t>
      </w:r>
    </w:p>
    <w:p>
      <w:pPr>
        <w:pStyle w:val="0"/>
      </w:pPr>
      <w:r>
        <w:rPr>
          <w:sz w:val="20"/>
        </w:rPr>
      </w:r>
    </w:p>
    <w:p>
      <w:pPr>
        <w:pStyle w:val="0"/>
        <w:ind w:firstLine="540"/>
        <w:jc w:val="both"/>
      </w:pPr>
      <w:r>
        <w:rPr>
          <w:sz w:val="20"/>
        </w:rPr>
        <w:t xml:space="preserve">6.1. В состав Общественного совета входят председатель Общественного совета, заместитель председателя, секретарь и члены Общественного совета.</w:t>
      </w:r>
    </w:p>
    <w:p>
      <w:pPr>
        <w:pStyle w:val="0"/>
        <w:spacing w:before="200" w:lineRule="auto"/>
        <w:ind w:firstLine="540"/>
        <w:jc w:val="both"/>
      </w:pPr>
      <w:r>
        <w:rPr>
          <w:sz w:val="20"/>
        </w:rPr>
        <w:t xml:space="preserve">6.2. Председатель Общественного совета назначается приказом Главного управления. Заместитель председателя избирается из числа членов Общественного совета на заседании Общественного совета.</w:t>
      </w:r>
    </w:p>
    <w:p>
      <w:pPr>
        <w:pStyle w:val="0"/>
        <w:spacing w:before="200" w:lineRule="auto"/>
        <w:ind w:firstLine="540"/>
        <w:jc w:val="both"/>
      </w:pPr>
      <w:r>
        <w:rPr>
          <w:sz w:val="20"/>
        </w:rPr>
        <w:t xml:space="preserve">6.3. Председатель Общественного совета:</w:t>
      </w:r>
    </w:p>
    <w:p>
      <w:pPr>
        <w:pStyle w:val="0"/>
        <w:spacing w:before="200" w:lineRule="auto"/>
        <w:ind w:firstLine="540"/>
        <w:jc w:val="both"/>
      </w:pPr>
      <w:r>
        <w:rPr>
          <w:sz w:val="20"/>
        </w:rPr>
        <w:t xml:space="preserve">организует деятельность Общественного совета, в том числе созывает очередные и внеочередные заседания Общественного совета, ведет заседания Общественного совета, распределяет обязанности между членами Общественного совета, осуществляет контроль за исполнением решений Общественного совета;</w:t>
      </w:r>
    </w:p>
    <w:p>
      <w:pPr>
        <w:pStyle w:val="0"/>
        <w:spacing w:before="200" w:lineRule="auto"/>
        <w:ind w:firstLine="540"/>
        <w:jc w:val="both"/>
      </w:pPr>
      <w:r>
        <w:rPr>
          <w:sz w:val="20"/>
        </w:rPr>
        <w:t xml:space="preserve">формирует повестку заседаний Общественного совета на основании предложений членов Общественного совета;</w:t>
      </w:r>
    </w:p>
    <w:p>
      <w:pPr>
        <w:pStyle w:val="0"/>
        <w:spacing w:before="200" w:lineRule="auto"/>
        <w:ind w:firstLine="540"/>
        <w:jc w:val="both"/>
      </w:pPr>
      <w:r>
        <w:rPr>
          <w:sz w:val="20"/>
        </w:rPr>
        <w:t xml:space="preserve">подписывает протоколы и документы Общественного совета;</w:t>
      </w:r>
    </w:p>
    <w:p>
      <w:pPr>
        <w:pStyle w:val="0"/>
        <w:spacing w:before="200" w:lineRule="auto"/>
        <w:ind w:firstLine="540"/>
        <w:jc w:val="both"/>
      </w:pPr>
      <w:r>
        <w:rPr>
          <w:sz w:val="20"/>
        </w:rPr>
        <w:t xml:space="preserve">в пределах своей компетенции представляет Общественный совет в отношениях с органами государственной власти и местного самоуправления области, средствами массовой информации, общественными объединениями и гражданами.</w:t>
      </w:r>
    </w:p>
    <w:p>
      <w:pPr>
        <w:pStyle w:val="0"/>
        <w:spacing w:before="200" w:lineRule="auto"/>
        <w:ind w:firstLine="540"/>
        <w:jc w:val="both"/>
      </w:pPr>
      <w:r>
        <w:rPr>
          <w:sz w:val="20"/>
        </w:rPr>
        <w:t xml:space="preserve">6.4. В отсутствие председателя его обязанности исполняет заместитель председателя Общественного совета.</w:t>
      </w:r>
    </w:p>
    <w:p>
      <w:pPr>
        <w:pStyle w:val="0"/>
        <w:spacing w:before="200" w:lineRule="auto"/>
        <w:ind w:firstLine="540"/>
        <w:jc w:val="both"/>
      </w:pPr>
      <w:r>
        <w:rPr>
          <w:sz w:val="20"/>
        </w:rPr>
        <w:t xml:space="preserve">6.5. Члены Общественного совета:</w:t>
      </w:r>
    </w:p>
    <w:p>
      <w:pPr>
        <w:pStyle w:val="0"/>
        <w:spacing w:before="200" w:lineRule="auto"/>
        <w:ind w:firstLine="540"/>
        <w:jc w:val="both"/>
      </w:pPr>
      <w:r>
        <w:rPr>
          <w:sz w:val="20"/>
        </w:rPr>
        <w:t xml:space="preserve">участвуют лично в заседаниях Общественного совета и не вправе делегировать свои полномочия другим лицам;</w:t>
      </w:r>
    </w:p>
    <w:p>
      <w:pPr>
        <w:pStyle w:val="0"/>
        <w:spacing w:before="200" w:lineRule="auto"/>
        <w:ind w:firstLine="540"/>
        <w:jc w:val="both"/>
      </w:pPr>
      <w:r>
        <w:rPr>
          <w:sz w:val="20"/>
        </w:rPr>
        <w:t xml:space="preserve">участвуют в иных мероприятиях, проводимых Общественным советом, а также в подготовке материалов по рассматриваемым вопросам;</w:t>
      </w:r>
    </w:p>
    <w:p>
      <w:pPr>
        <w:pStyle w:val="0"/>
        <w:spacing w:before="200" w:lineRule="auto"/>
        <w:ind w:firstLine="540"/>
        <w:jc w:val="both"/>
      </w:pPr>
      <w:r>
        <w:rPr>
          <w:sz w:val="20"/>
        </w:rPr>
        <w:t xml:space="preserve">высказывают мнение по рассматриваемым вопросам, вносят предложения, замечания и поправки к проектам планов работы Общественного совета, по повестке заседания и порядку ведения заседаний Общественного совета, проектам решений и протоколов Общественного совета;</w:t>
      </w:r>
    </w:p>
    <w:p>
      <w:pPr>
        <w:pStyle w:val="0"/>
        <w:spacing w:before="200" w:lineRule="auto"/>
        <w:ind w:firstLine="540"/>
        <w:jc w:val="both"/>
      </w:pPr>
      <w:r>
        <w:rPr>
          <w:sz w:val="20"/>
        </w:rPr>
        <w:t xml:space="preserve">знакомятся с информацией, материалами, рассматриваемыми Общественным советом, документами, поступившими в Общественный совет;</w:t>
      </w:r>
    </w:p>
    <w:p>
      <w:pPr>
        <w:pStyle w:val="0"/>
        <w:spacing w:before="200" w:lineRule="auto"/>
        <w:ind w:firstLine="540"/>
        <w:jc w:val="both"/>
      </w:pPr>
      <w:r>
        <w:rPr>
          <w:sz w:val="20"/>
        </w:rPr>
        <w:t xml:space="preserve">формируют комиссии и рабочие группы для принятия компетентного решения по обсуждаемому вопросу;</w:t>
      </w:r>
    </w:p>
    <w:p>
      <w:pPr>
        <w:pStyle w:val="0"/>
        <w:spacing w:before="200" w:lineRule="auto"/>
        <w:ind w:firstLine="540"/>
        <w:jc w:val="both"/>
      </w:pPr>
      <w:r>
        <w:rPr>
          <w:sz w:val="20"/>
        </w:rPr>
        <w:t xml:space="preserve">выполняют поручения Общественного совета.</w:t>
      </w:r>
    </w:p>
    <w:p>
      <w:pPr>
        <w:pStyle w:val="0"/>
        <w:spacing w:before="200" w:lineRule="auto"/>
        <w:ind w:firstLine="540"/>
        <w:jc w:val="both"/>
      </w:pPr>
      <w:r>
        <w:rPr>
          <w:sz w:val="20"/>
        </w:rPr>
        <w:t xml:space="preserve">6.6. Члены Общественного совета обладают равными правами на участие в деятельности Общественного совета, в том числе при обсуждении вопросов и голосовании.</w:t>
      </w:r>
    </w:p>
    <w:p>
      <w:pPr>
        <w:pStyle w:val="0"/>
        <w:spacing w:before="200" w:lineRule="auto"/>
        <w:ind w:firstLine="540"/>
        <w:jc w:val="both"/>
      </w:pPr>
      <w:r>
        <w:rPr>
          <w:sz w:val="20"/>
        </w:rPr>
        <w:t xml:space="preserve">6.7. Для обеспечения деятельности Общественного совета назначается секретарь Общественного совета из числа государственных гражданских служащих Главного управления. Секретарь Общественного совета не является членом Общественного совета.</w:t>
      </w:r>
    </w:p>
    <w:p>
      <w:pPr>
        <w:pStyle w:val="0"/>
        <w:spacing w:before="200" w:lineRule="auto"/>
        <w:ind w:firstLine="540"/>
        <w:jc w:val="both"/>
      </w:pPr>
      <w:r>
        <w:rPr>
          <w:sz w:val="20"/>
        </w:rPr>
        <w:t xml:space="preserve">6.8. Секретарь Общественного совета:</w:t>
      </w:r>
    </w:p>
    <w:p>
      <w:pPr>
        <w:pStyle w:val="0"/>
        <w:spacing w:before="200" w:lineRule="auto"/>
        <w:ind w:firstLine="540"/>
        <w:jc w:val="both"/>
      </w:pPr>
      <w:r>
        <w:rPr>
          <w:sz w:val="20"/>
        </w:rPr>
        <w:t xml:space="preserve">решает вопросы о месте, времени и обеспечении условий для проведения заседаний Общественного совета, а также информирует членов Общественного совета о проведении заседаний Общественного совета;</w:t>
      </w:r>
    </w:p>
    <w:p>
      <w:pPr>
        <w:pStyle w:val="0"/>
        <w:spacing w:before="200" w:lineRule="auto"/>
        <w:ind w:firstLine="540"/>
        <w:jc w:val="both"/>
      </w:pPr>
      <w:r>
        <w:rPr>
          <w:sz w:val="20"/>
        </w:rPr>
        <w:t xml:space="preserve">осуществляет координацию деятельности комиссий и рабочих групп Общественного совета;</w:t>
      </w:r>
    </w:p>
    <w:p>
      <w:pPr>
        <w:pStyle w:val="0"/>
        <w:spacing w:before="200" w:lineRule="auto"/>
        <w:ind w:firstLine="540"/>
        <w:jc w:val="both"/>
      </w:pPr>
      <w:r>
        <w:rPr>
          <w:sz w:val="20"/>
        </w:rPr>
        <w:t xml:space="preserve">осуществляет документационное обеспечение заседаний Общественного совета;</w:t>
      </w:r>
    </w:p>
    <w:p>
      <w:pPr>
        <w:pStyle w:val="0"/>
        <w:spacing w:before="200" w:lineRule="auto"/>
        <w:ind w:firstLine="540"/>
        <w:jc w:val="both"/>
      </w:pPr>
      <w:r>
        <w:rPr>
          <w:sz w:val="20"/>
        </w:rPr>
        <w:t xml:space="preserve">взаимодействует со структурными подразделениями Главного управления по вопросам организационно-технического и информационного сопровождения деятельности Общественного совета;</w:t>
      </w:r>
    </w:p>
    <w:p>
      <w:pPr>
        <w:pStyle w:val="0"/>
        <w:spacing w:before="200" w:lineRule="auto"/>
        <w:ind w:firstLine="540"/>
        <w:jc w:val="both"/>
      </w:pPr>
      <w:r>
        <w:rPr>
          <w:sz w:val="20"/>
        </w:rPr>
        <w:t xml:space="preserve">выполняет иные поручения председателя Общественного совета в рамках полномочий Общественного совета.</w:t>
      </w:r>
    </w:p>
    <w:p>
      <w:pPr>
        <w:pStyle w:val="0"/>
      </w:pPr>
      <w:r>
        <w:rPr>
          <w:sz w:val="20"/>
        </w:rPr>
      </w:r>
    </w:p>
    <w:p>
      <w:pPr>
        <w:pStyle w:val="2"/>
        <w:outlineLvl w:val="1"/>
        <w:jc w:val="center"/>
      </w:pPr>
      <w:r>
        <w:rPr>
          <w:sz w:val="20"/>
        </w:rPr>
        <w:t xml:space="preserve">7. Организация работы Общественного совета</w:t>
      </w:r>
    </w:p>
    <w:p>
      <w:pPr>
        <w:pStyle w:val="0"/>
      </w:pPr>
      <w:r>
        <w:rPr>
          <w:sz w:val="20"/>
        </w:rPr>
      </w:r>
    </w:p>
    <w:p>
      <w:pPr>
        <w:pStyle w:val="0"/>
        <w:ind w:firstLine="540"/>
        <w:jc w:val="both"/>
      </w:pPr>
      <w:r>
        <w:rPr>
          <w:sz w:val="20"/>
        </w:rPr>
        <w:t xml:space="preserve">7.1. Общественный совет осуществляет свою деятельность в соответствии с планом работы на год, утвержденным решением Общественного совета. Проект плана работы согласовывается с начальником Главного управления.</w:t>
      </w:r>
    </w:p>
    <w:p>
      <w:pPr>
        <w:pStyle w:val="0"/>
        <w:spacing w:before="200" w:lineRule="auto"/>
        <w:ind w:firstLine="540"/>
        <w:jc w:val="both"/>
      </w:pPr>
      <w:r>
        <w:rPr>
          <w:sz w:val="20"/>
        </w:rPr>
        <w:t xml:space="preserve">7.2. Основной формой деятельности Общественного совета являются заседания. Заседания проводятся по мере необходимости, но не реже одного раза в три месяца. По решению Общественного совета или начальника Главного управления могут проводиться внеочередные заседания.</w:t>
      </w:r>
    </w:p>
    <w:p>
      <w:pPr>
        <w:pStyle w:val="0"/>
        <w:spacing w:before="200" w:lineRule="auto"/>
        <w:ind w:firstLine="540"/>
        <w:jc w:val="both"/>
      </w:pPr>
      <w:r>
        <w:rPr>
          <w:sz w:val="20"/>
        </w:rPr>
        <w:t xml:space="preserve">7.3. Начальник Главного управления (лицо, им уполномоченное) участвует в заседаниях Общественного совета с правом совещательного голоса.</w:t>
      </w:r>
    </w:p>
    <w:p>
      <w:pPr>
        <w:pStyle w:val="0"/>
        <w:spacing w:before="200" w:lineRule="auto"/>
        <w:ind w:firstLine="540"/>
        <w:jc w:val="both"/>
      </w:pPr>
      <w:r>
        <w:rPr>
          <w:sz w:val="20"/>
        </w:rPr>
        <w:t xml:space="preserve">7.4. За 15 календарных дней до заседания Общественного совета его члены вносят председателю Общественного совета предложения в повестку дня заседания и готовят для обсуждения информационные материалы. Начальник Главного управления может вносить на обсуждение Общественного совета дополнительные вопросы. Вопросы, внесенные начальником Главного управления, рассматриваются Общественным советом в первоочередном порядке. Проект повестки дня заседания Общественного совета утверждается председателем Общественного совета.</w:t>
      </w:r>
    </w:p>
    <w:p>
      <w:pPr>
        <w:pStyle w:val="0"/>
        <w:spacing w:before="200" w:lineRule="auto"/>
        <w:ind w:firstLine="540"/>
        <w:jc w:val="both"/>
      </w:pPr>
      <w:r>
        <w:rPr>
          <w:sz w:val="20"/>
        </w:rPr>
        <w:t xml:space="preserve">7.5. Заседание Общественного совета считается правомочным, если на нем присутствует не менее половины от общего числа членов Общественного совета.</w:t>
      </w:r>
    </w:p>
    <w:p>
      <w:pPr>
        <w:pStyle w:val="0"/>
        <w:spacing w:before="200" w:lineRule="auto"/>
        <w:ind w:firstLine="540"/>
        <w:jc w:val="both"/>
      </w:pPr>
      <w:r>
        <w:rPr>
          <w:sz w:val="20"/>
        </w:rPr>
        <w:t xml:space="preserve">7.6. Решения Общественного совета принимаются открытым голосованием простым большинством голосов его членов, присутствующих на заседании При равенстве голосов решающим является голос председательствующего.</w:t>
      </w:r>
    </w:p>
    <w:p>
      <w:pPr>
        <w:pStyle w:val="0"/>
        <w:spacing w:before="200" w:lineRule="auto"/>
        <w:ind w:firstLine="540"/>
        <w:jc w:val="both"/>
      </w:pPr>
      <w:r>
        <w:rPr>
          <w:sz w:val="20"/>
        </w:rPr>
        <w:t xml:space="preserve">7.7. Допускается принятие решений Общественного совета в заочной форме путем опроса членов Общественного совета. Для этого секретарь Общественного совета собирает подписи всех членов общественного совета, кроме временно отсутствующих (командировка, отпуск, болезнь), в листе опроса. Датой принятия решения Общественного совета при заочном голосовании является дата составления протокола.</w:t>
      </w:r>
    </w:p>
    <w:p>
      <w:pPr>
        <w:pStyle w:val="0"/>
        <w:spacing w:before="200" w:lineRule="auto"/>
        <w:ind w:firstLine="540"/>
        <w:jc w:val="both"/>
      </w:pPr>
      <w:r>
        <w:rPr>
          <w:sz w:val="20"/>
        </w:rPr>
        <w:t xml:space="preserve">7.8. К листу опроса прилагается перечень вопросов, подлежащих рассмотрению, с приложением всех необходимых для принятия решения материалов.</w:t>
      </w:r>
    </w:p>
    <w:p>
      <w:pPr>
        <w:pStyle w:val="0"/>
        <w:spacing w:before="200" w:lineRule="auto"/>
        <w:ind w:firstLine="540"/>
        <w:jc w:val="both"/>
      </w:pPr>
      <w:r>
        <w:rPr>
          <w:sz w:val="20"/>
        </w:rPr>
        <w:t xml:space="preserve">Утвержденный председателем Общественного совета опросный лист вместе с проектами материалов заседания направляется членам Общественного совета секретарем Общественного совета на следующий рабочий день после принятия решения о проведении заседания методом опроса членов Общественного совета.</w:t>
      </w:r>
    </w:p>
    <w:p>
      <w:pPr>
        <w:pStyle w:val="0"/>
        <w:spacing w:before="200" w:lineRule="auto"/>
        <w:ind w:firstLine="540"/>
        <w:jc w:val="both"/>
      </w:pPr>
      <w:r>
        <w:rPr>
          <w:sz w:val="20"/>
        </w:rPr>
        <w:t xml:space="preserve">Материалы заседания направляются членам Общественного совета в электронном виде по адресам, указанным в анкете кандидата в члены Общественного совета.</w:t>
      </w:r>
    </w:p>
    <w:p>
      <w:pPr>
        <w:pStyle w:val="0"/>
        <w:spacing w:before="200" w:lineRule="auto"/>
        <w:ind w:firstLine="540"/>
        <w:jc w:val="both"/>
      </w:pPr>
      <w:r>
        <w:rPr>
          <w:sz w:val="20"/>
        </w:rPr>
        <w:t xml:space="preserve">7.9. Члены Общественного совета в течение 5 рабочих дней со дня получения информации должны выразить свое мнение по каждому вопросу, направив заполненные опросные листы председателю Общественного совета. Если в течение 5 рабочих дней член Общественного совета не направил заполненные опросные листы, считается, что он не участвовал в голосовании.</w:t>
      </w:r>
    </w:p>
    <w:p>
      <w:pPr>
        <w:pStyle w:val="0"/>
        <w:spacing w:before="200" w:lineRule="auto"/>
        <w:ind w:firstLine="540"/>
        <w:jc w:val="both"/>
      </w:pPr>
      <w:r>
        <w:rPr>
          <w:sz w:val="20"/>
        </w:rPr>
        <w:t xml:space="preserve">Срок голосования может быть продлен по решению председателя Общественного совета, но не более чем на 5 рабочих дней.</w:t>
      </w:r>
    </w:p>
    <w:p>
      <w:pPr>
        <w:pStyle w:val="0"/>
        <w:spacing w:before="200" w:lineRule="auto"/>
        <w:ind w:firstLine="540"/>
        <w:jc w:val="both"/>
      </w:pPr>
      <w:r>
        <w:rPr>
          <w:sz w:val="20"/>
        </w:rPr>
        <w:t xml:space="preserve">7.10. Решение Общественного совета при применении метода опроса членов Общественного совета считается принятым, если более половины его членов высказались "за" по соответствующему вопросу. При равенстве голосов решающим является мнение председательствующего. В том случае, если по поступившему от члена Общественного совета опросному листу невозможно установить его волеизъявление, опросный лист признается недействительным.</w:t>
      </w:r>
    </w:p>
    <w:p>
      <w:pPr>
        <w:pStyle w:val="0"/>
        <w:spacing w:before="200" w:lineRule="auto"/>
        <w:ind w:firstLine="540"/>
        <w:jc w:val="both"/>
      </w:pPr>
      <w:r>
        <w:rPr>
          <w:sz w:val="20"/>
        </w:rPr>
        <w:t xml:space="preserve">7.11. Решения Общественного совета (в том числе принятые в заочной форме) оформляются протоколами заседаний Общественного совета, которые подписывают председатель Общественного совета и секретарь Общественного совета. Оригиналы протоколов хранятся у секретаря Общественного совета, копии направляются начальнику Главного управления не позднее 7 дней со дня заседания Общественного совета.</w:t>
      </w:r>
    </w:p>
    <w:p>
      <w:pPr>
        <w:pStyle w:val="0"/>
        <w:spacing w:before="200" w:lineRule="auto"/>
        <w:ind w:firstLine="540"/>
        <w:jc w:val="both"/>
      </w:pPr>
      <w:r>
        <w:rPr>
          <w:sz w:val="20"/>
        </w:rPr>
        <w:t xml:space="preserve">К протоколу заседания Общественного совета, проводимого путем Опроса его членов, подлежат приобщению полученные от членов Общественного совета замечания и предложения (в случае их наличия), а также материалы, послужившие основанием для принятия Общественным советом решений.</w:t>
      </w:r>
    </w:p>
    <w:p>
      <w:pPr>
        <w:pStyle w:val="0"/>
        <w:spacing w:before="200" w:lineRule="auto"/>
        <w:ind w:firstLine="540"/>
        <w:jc w:val="both"/>
      </w:pPr>
      <w:r>
        <w:rPr>
          <w:sz w:val="20"/>
        </w:rPr>
        <w:t xml:space="preserve">7.12. Общественный совет ежегодно готовит и направляет начальнику Главного управления доклад об итогах своей деятельности не позднее 1 февраля года, следующего за отчетным.</w:t>
      </w:r>
    </w:p>
    <w:p>
      <w:pPr>
        <w:pStyle w:val="0"/>
        <w:spacing w:before="200" w:lineRule="auto"/>
        <w:ind w:firstLine="540"/>
        <w:jc w:val="both"/>
      </w:pPr>
      <w:r>
        <w:rPr>
          <w:sz w:val="20"/>
        </w:rPr>
        <w:t xml:space="preserve">7.13. Информация об обсуждаемых Общественным советом общественно значимых вопросах и принятых на заседаниях Общественного совета решениях, ежегодный доклад об итогах деятельности общественного совета размещается в средствах массовой информации и (или) на официальном сайте Главного управления в информационно-телекоммуникационной сети "Интернет".</w:t>
      </w:r>
    </w:p>
    <w:p>
      <w:pPr>
        <w:pStyle w:val="0"/>
        <w:spacing w:before="200" w:lineRule="auto"/>
        <w:ind w:firstLine="540"/>
        <w:jc w:val="both"/>
      </w:pPr>
      <w:r>
        <w:rPr>
          <w:sz w:val="20"/>
        </w:rPr>
        <w:t xml:space="preserve">7.14. Организационно-техническое обеспечение деятельности Общественного совета осуществляет Главное управление.</w:t>
      </w:r>
    </w:p>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1</w:t>
      </w:r>
    </w:p>
    <w:p>
      <w:pPr>
        <w:pStyle w:val="0"/>
        <w:jc w:val="right"/>
      </w:pPr>
      <w:r>
        <w:rPr>
          <w:sz w:val="20"/>
        </w:rPr>
        <w:t xml:space="preserve">к Положению</w:t>
      </w:r>
    </w:p>
    <w:p>
      <w:pPr>
        <w:pStyle w:val="0"/>
        <w:jc w:val="right"/>
      </w:pPr>
      <w:r>
        <w:rPr>
          <w:sz w:val="20"/>
        </w:rPr>
        <w:t xml:space="preserve">об Общественном совете при Главном</w:t>
      </w:r>
    </w:p>
    <w:p>
      <w:pPr>
        <w:pStyle w:val="0"/>
        <w:jc w:val="right"/>
      </w:pPr>
      <w:r>
        <w:rPr>
          <w:sz w:val="20"/>
        </w:rPr>
        <w:t xml:space="preserve">управлении государственной инспекции</w:t>
      </w:r>
    </w:p>
    <w:p>
      <w:pPr>
        <w:pStyle w:val="0"/>
        <w:jc w:val="right"/>
      </w:pPr>
      <w:r>
        <w:rPr>
          <w:sz w:val="20"/>
        </w:rPr>
        <w:t xml:space="preserve">по надзору за техническим состоянием</w:t>
      </w:r>
    </w:p>
    <w:p>
      <w:pPr>
        <w:pStyle w:val="0"/>
        <w:jc w:val="right"/>
      </w:pPr>
      <w:r>
        <w:rPr>
          <w:sz w:val="20"/>
        </w:rPr>
        <w:t xml:space="preserve">самоходных машин и других видов</w:t>
      </w:r>
    </w:p>
    <w:p>
      <w:pPr>
        <w:pStyle w:val="0"/>
        <w:jc w:val="right"/>
      </w:pPr>
      <w:r>
        <w:rPr>
          <w:sz w:val="20"/>
        </w:rPr>
        <w:t xml:space="preserve">техники Вологодской области</w:t>
      </w:r>
    </w:p>
    <w:p>
      <w:pPr>
        <w:pStyle w:val="0"/>
      </w:pPr>
      <w:r>
        <w:rPr>
          <w:sz w:val="20"/>
        </w:rPr>
      </w:r>
    </w:p>
    <w:bookmarkStart w:id="186" w:name="P186"/>
    <w:bookmarkEnd w:id="186"/>
    <w:p>
      <w:pPr>
        <w:pStyle w:val="0"/>
        <w:jc w:val="center"/>
      </w:pPr>
      <w:r>
        <w:rPr>
          <w:sz w:val="20"/>
        </w:rPr>
        <w:t xml:space="preserve">АНКЕТА</w:t>
      </w:r>
    </w:p>
    <w:p>
      <w:pPr>
        <w:pStyle w:val="0"/>
        <w:jc w:val="center"/>
      </w:pPr>
      <w:r>
        <w:rPr>
          <w:sz w:val="20"/>
        </w:rPr>
        <w:t xml:space="preserve">кандидата в члены Общественного совета</w:t>
      </w:r>
    </w:p>
    <w:p>
      <w:pPr>
        <w:pStyle w:val="0"/>
        <w:jc w:val="center"/>
      </w:pPr>
      <w:r>
        <w:rPr>
          <w:sz w:val="20"/>
        </w:rPr>
        <w:t xml:space="preserve">при Главном управлении государственной инспекции</w:t>
      </w:r>
    </w:p>
    <w:p>
      <w:pPr>
        <w:pStyle w:val="0"/>
        <w:jc w:val="center"/>
      </w:pPr>
      <w:r>
        <w:rPr>
          <w:sz w:val="20"/>
        </w:rPr>
        <w:t xml:space="preserve">по надзору за техническим состоянием самоходных машин</w:t>
      </w:r>
    </w:p>
    <w:p>
      <w:pPr>
        <w:pStyle w:val="0"/>
        <w:jc w:val="center"/>
      </w:pPr>
      <w:r>
        <w:rPr>
          <w:sz w:val="20"/>
        </w:rPr>
        <w:t xml:space="preserve">и других видов техники Вологодской области</w:t>
      </w:r>
    </w:p>
    <w:p>
      <w:pPr>
        <w:pStyle w:val="0"/>
      </w:pPr>
      <w:r>
        <w:rPr>
          <w:sz w:val="20"/>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2640"/>
        <w:gridCol w:w="4706"/>
        <w:gridCol w:w="1701"/>
      </w:tblGrid>
      <w:tr>
        <w:tc>
          <w:tcPr>
            <w:tcW w:w="2640" w:type="dxa"/>
          </w:tcPr>
          <w:p>
            <w:pPr>
              <w:pStyle w:val="0"/>
            </w:pPr>
            <w:r>
              <w:rPr>
                <w:sz w:val="20"/>
              </w:rPr>
              <w:t xml:space="preserve">Фамилия</w:t>
            </w:r>
          </w:p>
        </w:tc>
        <w:tc>
          <w:tcPr>
            <w:tcW w:w="4706" w:type="dxa"/>
          </w:tcPr>
          <w:p>
            <w:pPr>
              <w:pStyle w:val="0"/>
            </w:pPr>
            <w:r>
              <w:rPr>
                <w:sz w:val="20"/>
              </w:rPr>
            </w:r>
          </w:p>
        </w:tc>
        <w:tc>
          <w:tcPr>
            <w:tcW w:w="1701" w:type="dxa"/>
            <w:vMerge w:val="restart"/>
          </w:tcPr>
          <w:p>
            <w:pPr>
              <w:pStyle w:val="0"/>
              <w:jc w:val="center"/>
            </w:pPr>
            <w:r>
              <w:rPr>
                <w:sz w:val="20"/>
              </w:rPr>
              <w:t xml:space="preserve">Фото</w:t>
            </w:r>
          </w:p>
        </w:tc>
      </w:tr>
      <w:tr>
        <w:tc>
          <w:tcPr>
            <w:tcW w:w="2640" w:type="dxa"/>
          </w:tcPr>
          <w:p>
            <w:pPr>
              <w:pStyle w:val="0"/>
            </w:pPr>
            <w:r>
              <w:rPr>
                <w:sz w:val="20"/>
              </w:rPr>
              <w:t xml:space="preserve">Имя</w:t>
            </w:r>
          </w:p>
        </w:tc>
        <w:tc>
          <w:tcPr>
            <w:tcW w:w="4706" w:type="dxa"/>
          </w:tcPr>
          <w:p>
            <w:pPr>
              <w:pStyle w:val="0"/>
            </w:pPr>
            <w:r>
              <w:rPr>
                <w:sz w:val="20"/>
              </w:rPr>
            </w:r>
          </w:p>
        </w:tc>
        <w:tc>
          <w:tcPr>
            <w:vMerge w:val="continue"/>
          </w:tcPr>
          <w:p/>
        </w:tc>
      </w:tr>
      <w:tr>
        <w:tc>
          <w:tcPr>
            <w:tcW w:w="2640" w:type="dxa"/>
          </w:tcPr>
          <w:p>
            <w:pPr>
              <w:pStyle w:val="0"/>
            </w:pPr>
            <w:r>
              <w:rPr>
                <w:sz w:val="20"/>
              </w:rPr>
              <w:t xml:space="preserve">Отчество</w:t>
            </w:r>
          </w:p>
        </w:tc>
        <w:tc>
          <w:tcPr>
            <w:tcW w:w="4706" w:type="dxa"/>
          </w:tcPr>
          <w:p>
            <w:pPr>
              <w:pStyle w:val="0"/>
            </w:pPr>
            <w:r>
              <w:rPr>
                <w:sz w:val="20"/>
              </w:rPr>
            </w:r>
          </w:p>
        </w:tc>
        <w:tc>
          <w:tcPr>
            <w:vMerge w:val="continue"/>
          </w:tcPr>
          <w:p/>
        </w:tc>
      </w:tr>
      <w:tr>
        <w:tc>
          <w:tcPr>
            <w:tcW w:w="2640" w:type="dxa"/>
          </w:tcPr>
          <w:p>
            <w:pPr>
              <w:pStyle w:val="0"/>
            </w:pPr>
            <w:r>
              <w:rPr>
                <w:sz w:val="20"/>
              </w:rPr>
              <w:t xml:space="preserve">Должность</w:t>
            </w:r>
          </w:p>
        </w:tc>
        <w:tc>
          <w:tcPr>
            <w:tcW w:w="4706" w:type="dxa"/>
          </w:tcPr>
          <w:p>
            <w:pPr>
              <w:pStyle w:val="0"/>
            </w:pPr>
            <w:r>
              <w:rPr>
                <w:sz w:val="20"/>
              </w:rPr>
            </w:r>
          </w:p>
        </w:tc>
        <w:tc>
          <w:tcPr>
            <w:vMerge w:val="continue"/>
          </w:tcPr>
          <w:p/>
        </w:tc>
      </w:tr>
      <w:tr>
        <w:tc>
          <w:tcPr>
            <w:tcW w:w="2640" w:type="dxa"/>
          </w:tcPr>
          <w:p>
            <w:pPr>
              <w:pStyle w:val="0"/>
            </w:pPr>
            <w:r>
              <w:rPr>
                <w:sz w:val="20"/>
              </w:rPr>
              <w:t xml:space="preserve">E-mail</w:t>
            </w:r>
          </w:p>
        </w:tc>
        <w:tc>
          <w:tcPr>
            <w:tcW w:w="4706" w:type="dxa"/>
          </w:tcPr>
          <w:p>
            <w:pPr>
              <w:pStyle w:val="0"/>
            </w:pPr>
            <w:r>
              <w:rPr>
                <w:sz w:val="20"/>
              </w:rPr>
            </w:r>
          </w:p>
        </w:tc>
        <w:tc>
          <w:tcPr>
            <w:vMerge w:val="continue"/>
          </w:tcPr>
          <w:p/>
        </w:tc>
      </w:tr>
      <w:tr>
        <w:tc>
          <w:tcPr>
            <w:tcW w:w="2640" w:type="dxa"/>
          </w:tcPr>
          <w:p>
            <w:pPr>
              <w:pStyle w:val="0"/>
            </w:pPr>
            <w:r>
              <w:rPr>
                <w:sz w:val="20"/>
              </w:rPr>
              <w:t xml:space="preserve">Конт. телефон</w:t>
            </w:r>
          </w:p>
        </w:tc>
        <w:tc>
          <w:tcPr>
            <w:tcW w:w="4706" w:type="dxa"/>
          </w:tcPr>
          <w:p>
            <w:pPr>
              <w:pStyle w:val="0"/>
            </w:pPr>
            <w:r>
              <w:rPr>
                <w:sz w:val="20"/>
              </w:rPr>
            </w:r>
          </w:p>
        </w:tc>
        <w:tc>
          <w:tcPr>
            <w:vMerge w:val="continue"/>
          </w:tcPr>
          <w:p/>
        </w:tc>
      </w:tr>
      <w:tr>
        <w:tc>
          <w:tcPr>
            <w:tcW w:w="2640" w:type="dxa"/>
          </w:tcPr>
          <w:p>
            <w:pPr>
              <w:pStyle w:val="0"/>
            </w:pPr>
            <w:r>
              <w:rPr>
                <w:sz w:val="20"/>
              </w:rPr>
              <w:t xml:space="preserve">Дата рождения</w:t>
            </w:r>
          </w:p>
        </w:tc>
        <w:tc>
          <w:tcPr>
            <w:gridSpan w:val="2"/>
            <w:tcW w:w="6407" w:type="dxa"/>
          </w:tcPr>
          <w:p>
            <w:pPr>
              <w:pStyle w:val="0"/>
            </w:pPr>
            <w:r>
              <w:rPr>
                <w:sz w:val="20"/>
              </w:rPr>
            </w:r>
          </w:p>
        </w:tc>
      </w:tr>
      <w:tr>
        <w:tc>
          <w:tcPr>
            <w:tcW w:w="2640" w:type="dxa"/>
          </w:tcPr>
          <w:p>
            <w:pPr>
              <w:pStyle w:val="0"/>
            </w:pPr>
            <w:r>
              <w:rPr>
                <w:sz w:val="20"/>
              </w:rPr>
              <w:t xml:space="preserve">Гражданство</w:t>
            </w:r>
          </w:p>
        </w:tc>
        <w:tc>
          <w:tcPr>
            <w:gridSpan w:val="2"/>
            <w:tcW w:w="6407" w:type="dxa"/>
          </w:tcPr>
          <w:p>
            <w:pPr>
              <w:pStyle w:val="0"/>
            </w:pPr>
            <w:r>
              <w:rPr>
                <w:sz w:val="20"/>
              </w:rPr>
            </w:r>
          </w:p>
        </w:tc>
      </w:tr>
      <w:tr>
        <w:tc>
          <w:tcPr>
            <w:tcW w:w="2640" w:type="dxa"/>
          </w:tcPr>
          <w:p>
            <w:pPr>
              <w:pStyle w:val="0"/>
            </w:pPr>
            <w:r>
              <w:rPr>
                <w:sz w:val="20"/>
              </w:rPr>
              <w:t xml:space="preserve">Место рождения</w:t>
            </w:r>
          </w:p>
        </w:tc>
        <w:tc>
          <w:tcPr>
            <w:gridSpan w:val="2"/>
            <w:tcW w:w="6407" w:type="dxa"/>
          </w:tcPr>
          <w:p>
            <w:pPr>
              <w:pStyle w:val="0"/>
            </w:pPr>
            <w:r>
              <w:rPr>
                <w:sz w:val="20"/>
              </w:rPr>
            </w:r>
          </w:p>
        </w:tc>
      </w:tr>
      <w:tr>
        <w:tc>
          <w:tcPr>
            <w:tcW w:w="2640" w:type="dxa"/>
          </w:tcPr>
          <w:p>
            <w:pPr>
              <w:pStyle w:val="0"/>
            </w:pPr>
            <w:r>
              <w:rPr>
                <w:sz w:val="20"/>
              </w:rPr>
              <w:t xml:space="preserve">Место проживания</w:t>
            </w:r>
          </w:p>
        </w:tc>
        <w:tc>
          <w:tcPr>
            <w:gridSpan w:val="2"/>
            <w:tcW w:w="6407" w:type="dxa"/>
          </w:tcPr>
          <w:p>
            <w:pPr>
              <w:pStyle w:val="0"/>
            </w:pPr>
            <w:r>
              <w:rPr>
                <w:sz w:val="20"/>
              </w:rPr>
            </w:r>
          </w:p>
        </w:tc>
      </w:tr>
      <w:tr>
        <w:tc>
          <w:tcPr>
            <w:gridSpan w:val="3"/>
            <w:tcW w:w="9047" w:type="dxa"/>
          </w:tcPr>
          <w:p>
            <w:pPr>
              <w:pStyle w:val="0"/>
            </w:pPr>
            <w:r>
              <w:rPr>
                <w:sz w:val="20"/>
              </w:rPr>
              <w:t xml:space="preserve">Образование (базовое):</w:t>
            </w:r>
          </w:p>
        </w:tc>
      </w:tr>
      <w:tr>
        <w:tc>
          <w:tcPr>
            <w:tcW w:w="2640" w:type="dxa"/>
          </w:tcPr>
          <w:p>
            <w:pPr>
              <w:pStyle w:val="0"/>
            </w:pPr>
            <w:r>
              <w:rPr>
                <w:sz w:val="20"/>
              </w:rPr>
              <w:t xml:space="preserve">Наименование образовательного учреждения и его местонахождение</w:t>
            </w:r>
          </w:p>
        </w:tc>
        <w:tc>
          <w:tcPr>
            <w:gridSpan w:val="2"/>
            <w:tcW w:w="6407" w:type="dxa"/>
          </w:tcPr>
          <w:p>
            <w:pPr>
              <w:pStyle w:val="0"/>
            </w:pPr>
            <w:r>
              <w:rPr>
                <w:sz w:val="20"/>
              </w:rPr>
            </w:r>
          </w:p>
        </w:tc>
      </w:tr>
      <w:tr>
        <w:tc>
          <w:tcPr>
            <w:tcW w:w="2640" w:type="dxa"/>
          </w:tcPr>
          <w:p>
            <w:pPr>
              <w:pStyle w:val="0"/>
            </w:pPr>
            <w:r>
              <w:rPr>
                <w:sz w:val="20"/>
              </w:rPr>
              <w:t xml:space="preserve">Период обучения</w:t>
            </w:r>
          </w:p>
        </w:tc>
        <w:tc>
          <w:tcPr>
            <w:gridSpan w:val="2"/>
            <w:tcW w:w="6407" w:type="dxa"/>
          </w:tcPr>
          <w:p>
            <w:pPr>
              <w:pStyle w:val="0"/>
            </w:pPr>
            <w:r>
              <w:rPr>
                <w:sz w:val="20"/>
              </w:rPr>
            </w:r>
          </w:p>
        </w:tc>
      </w:tr>
      <w:tr>
        <w:tc>
          <w:tcPr>
            <w:tcW w:w="2640" w:type="dxa"/>
          </w:tcPr>
          <w:p>
            <w:pPr>
              <w:pStyle w:val="0"/>
            </w:pPr>
            <w:r>
              <w:rPr>
                <w:sz w:val="20"/>
              </w:rPr>
              <w:t xml:space="preserve">Факультет, специальность (направление), квалификация</w:t>
            </w:r>
          </w:p>
        </w:tc>
        <w:tc>
          <w:tcPr>
            <w:gridSpan w:val="2"/>
            <w:tcW w:w="6407" w:type="dxa"/>
          </w:tcPr>
          <w:p>
            <w:pPr>
              <w:pStyle w:val="0"/>
            </w:pPr>
            <w:r>
              <w:rPr>
                <w:sz w:val="20"/>
              </w:rPr>
            </w:r>
          </w:p>
        </w:tc>
      </w:tr>
      <w:tr>
        <w:tc>
          <w:tcPr>
            <w:gridSpan w:val="3"/>
            <w:tcW w:w="9047" w:type="dxa"/>
          </w:tcPr>
          <w:p>
            <w:pPr>
              <w:pStyle w:val="0"/>
            </w:pPr>
            <w:r>
              <w:rPr>
                <w:sz w:val="20"/>
              </w:rPr>
              <w:t xml:space="preserve">Послевузовское профессиональное образование:</w:t>
            </w:r>
          </w:p>
        </w:tc>
      </w:tr>
      <w:tr>
        <w:tc>
          <w:tcPr>
            <w:tcW w:w="2640" w:type="dxa"/>
          </w:tcPr>
          <w:p>
            <w:pPr>
              <w:pStyle w:val="0"/>
            </w:pPr>
            <w:r>
              <w:rPr>
                <w:sz w:val="20"/>
              </w:rPr>
              <w:t xml:space="preserve">Наименование образовательного учреждения и его местонахождение</w:t>
            </w:r>
          </w:p>
        </w:tc>
        <w:tc>
          <w:tcPr>
            <w:gridSpan w:val="2"/>
            <w:tcW w:w="6407" w:type="dxa"/>
          </w:tcPr>
          <w:p>
            <w:pPr>
              <w:pStyle w:val="0"/>
            </w:pPr>
            <w:r>
              <w:rPr>
                <w:sz w:val="20"/>
              </w:rPr>
            </w:r>
          </w:p>
        </w:tc>
      </w:tr>
      <w:tr>
        <w:tc>
          <w:tcPr>
            <w:tcW w:w="2640" w:type="dxa"/>
          </w:tcPr>
          <w:p>
            <w:pPr>
              <w:pStyle w:val="0"/>
            </w:pPr>
            <w:r>
              <w:rPr>
                <w:sz w:val="20"/>
              </w:rPr>
              <w:t xml:space="preserve">Период обучения</w:t>
            </w:r>
          </w:p>
        </w:tc>
        <w:tc>
          <w:tcPr>
            <w:gridSpan w:val="2"/>
            <w:tcW w:w="6407" w:type="dxa"/>
          </w:tcPr>
          <w:p>
            <w:pPr>
              <w:pStyle w:val="0"/>
            </w:pPr>
            <w:r>
              <w:rPr>
                <w:sz w:val="20"/>
              </w:rPr>
            </w:r>
          </w:p>
        </w:tc>
      </w:tr>
      <w:tr>
        <w:tc>
          <w:tcPr>
            <w:tcW w:w="2640" w:type="dxa"/>
          </w:tcPr>
          <w:p>
            <w:pPr>
              <w:pStyle w:val="0"/>
            </w:pPr>
            <w:r>
              <w:rPr>
                <w:sz w:val="20"/>
              </w:rPr>
              <w:t xml:space="preserve">Факультет, направление, специальность</w:t>
            </w:r>
          </w:p>
        </w:tc>
        <w:tc>
          <w:tcPr>
            <w:gridSpan w:val="2"/>
            <w:tcW w:w="6407" w:type="dxa"/>
          </w:tcPr>
          <w:p>
            <w:pPr>
              <w:pStyle w:val="0"/>
            </w:pPr>
            <w:r>
              <w:rPr>
                <w:sz w:val="20"/>
              </w:rPr>
            </w:r>
          </w:p>
        </w:tc>
      </w:tr>
      <w:tr>
        <w:tc>
          <w:tcPr>
            <w:gridSpan w:val="3"/>
            <w:tcW w:w="9047" w:type="dxa"/>
          </w:tcPr>
          <w:p>
            <w:pPr>
              <w:pStyle w:val="0"/>
            </w:pPr>
            <w:r>
              <w:rPr>
                <w:sz w:val="20"/>
              </w:rPr>
              <w:t xml:space="preserve">Ученая степень:</w:t>
            </w:r>
          </w:p>
          <w:p>
            <w:pPr>
              <w:pStyle w:val="0"/>
            </w:pPr>
            <w:r>
              <w:rPr>
                <w:sz w:val="20"/>
              </w:rPr>
              <w:t xml:space="preserve">Тема диссертации:</w:t>
            </w:r>
          </w:p>
        </w:tc>
      </w:tr>
      <w:tr>
        <w:tc>
          <w:tcPr>
            <w:gridSpan w:val="3"/>
            <w:tcW w:w="9047" w:type="dxa"/>
          </w:tcPr>
          <w:p>
            <w:pPr>
              <w:pStyle w:val="0"/>
            </w:pPr>
            <w:r>
              <w:rPr>
                <w:sz w:val="20"/>
              </w:rPr>
              <w:t xml:space="preserve">Наличие ученого звания:</w:t>
            </w:r>
          </w:p>
          <w:p>
            <w:pPr>
              <w:pStyle w:val="0"/>
            </w:pPr>
            <w:r>
              <w:rPr>
                <w:sz w:val="20"/>
              </w:rPr>
              <w:t xml:space="preserve">Наличие почетной степени и (или) звания:</w:t>
            </w:r>
          </w:p>
        </w:tc>
      </w:tr>
      <w:tr>
        <w:tc>
          <w:tcPr>
            <w:gridSpan w:val="3"/>
            <w:tcW w:w="9047" w:type="dxa"/>
          </w:tcPr>
          <w:p>
            <w:pPr>
              <w:pStyle w:val="0"/>
            </w:pPr>
            <w:r>
              <w:rPr>
                <w:sz w:val="20"/>
              </w:rPr>
              <w:t xml:space="preserve">Дополнительное образование (курсы повышения квалификации, семинары и т.п.):</w:t>
            </w:r>
          </w:p>
        </w:tc>
      </w:tr>
      <w:tr>
        <w:tc>
          <w:tcPr>
            <w:tcW w:w="2640" w:type="dxa"/>
          </w:tcPr>
          <w:p>
            <w:pPr>
              <w:pStyle w:val="0"/>
            </w:pPr>
            <w:r>
              <w:rPr>
                <w:sz w:val="20"/>
              </w:rPr>
              <w:t xml:space="preserve">Наименование образовательного учреждения и его местонахождение</w:t>
            </w:r>
          </w:p>
        </w:tc>
        <w:tc>
          <w:tcPr>
            <w:gridSpan w:val="2"/>
            <w:tcW w:w="6407" w:type="dxa"/>
          </w:tcPr>
          <w:p>
            <w:pPr>
              <w:pStyle w:val="0"/>
            </w:pPr>
            <w:r>
              <w:rPr>
                <w:sz w:val="20"/>
              </w:rPr>
            </w:r>
          </w:p>
        </w:tc>
      </w:tr>
      <w:tr>
        <w:tc>
          <w:tcPr>
            <w:tcW w:w="2640" w:type="dxa"/>
          </w:tcPr>
          <w:p>
            <w:pPr>
              <w:pStyle w:val="0"/>
            </w:pPr>
            <w:r>
              <w:rPr>
                <w:sz w:val="20"/>
              </w:rPr>
              <w:t xml:space="preserve">Период обучения</w:t>
            </w:r>
          </w:p>
        </w:tc>
        <w:tc>
          <w:tcPr>
            <w:gridSpan w:val="2"/>
            <w:tcW w:w="6407" w:type="dxa"/>
          </w:tcPr>
          <w:p>
            <w:pPr>
              <w:pStyle w:val="0"/>
            </w:pPr>
            <w:r>
              <w:rPr>
                <w:sz w:val="20"/>
              </w:rPr>
            </w:r>
          </w:p>
        </w:tc>
      </w:tr>
      <w:tr>
        <w:tc>
          <w:tcPr>
            <w:tcW w:w="2640" w:type="dxa"/>
          </w:tcPr>
          <w:p>
            <w:pPr>
              <w:pStyle w:val="0"/>
            </w:pPr>
            <w:r>
              <w:rPr>
                <w:sz w:val="20"/>
              </w:rPr>
              <w:t xml:space="preserve">Наименование программы, количество часов</w:t>
            </w:r>
          </w:p>
        </w:tc>
        <w:tc>
          <w:tcPr>
            <w:gridSpan w:val="2"/>
            <w:tcW w:w="6407" w:type="dxa"/>
          </w:tcPr>
          <w:p>
            <w:pPr>
              <w:pStyle w:val="0"/>
            </w:pPr>
            <w:r>
              <w:rPr>
                <w:sz w:val="20"/>
              </w:rPr>
            </w:r>
          </w:p>
        </w:tc>
      </w:tr>
      <w:tr>
        <w:tc>
          <w:tcPr>
            <w:gridSpan w:val="3"/>
            <w:tcW w:w="9047" w:type="dxa"/>
          </w:tcPr>
          <w:p>
            <w:pPr>
              <w:pStyle w:val="0"/>
            </w:pPr>
            <w:r>
              <w:rPr>
                <w:sz w:val="20"/>
              </w:rPr>
              <w:t xml:space="preserve">Количество публикаций в научных журналах (общее количество и перечисление наиболее значимых):</w:t>
            </w:r>
          </w:p>
        </w:tc>
      </w:tr>
      <w:tr>
        <w:tc>
          <w:tcPr>
            <w:gridSpan w:val="3"/>
            <w:tcW w:w="9047" w:type="dxa"/>
          </w:tcPr>
          <w:p>
            <w:pPr>
              <w:pStyle w:val="0"/>
            </w:pPr>
            <w:r>
              <w:rPr>
                <w:sz w:val="20"/>
              </w:rPr>
              <w:t xml:space="preserve">Трудовая деятельность, укажите последнее место работы:</w:t>
            </w:r>
          </w:p>
        </w:tc>
      </w:tr>
      <w:tr>
        <w:tc>
          <w:tcPr>
            <w:tcW w:w="2640" w:type="dxa"/>
          </w:tcPr>
          <w:p>
            <w:pPr>
              <w:pStyle w:val="0"/>
            </w:pPr>
            <w:r>
              <w:rPr>
                <w:sz w:val="20"/>
              </w:rPr>
              <w:t xml:space="preserve">Полное наименование организации (учреждения)</w:t>
            </w:r>
          </w:p>
        </w:tc>
        <w:tc>
          <w:tcPr>
            <w:gridSpan w:val="2"/>
            <w:tcW w:w="6407" w:type="dxa"/>
          </w:tcPr>
          <w:p>
            <w:pPr>
              <w:pStyle w:val="0"/>
            </w:pPr>
            <w:r>
              <w:rPr>
                <w:sz w:val="20"/>
              </w:rPr>
            </w:r>
          </w:p>
        </w:tc>
      </w:tr>
      <w:tr>
        <w:tc>
          <w:tcPr>
            <w:tcW w:w="2640" w:type="dxa"/>
          </w:tcPr>
          <w:p>
            <w:pPr>
              <w:pStyle w:val="0"/>
            </w:pPr>
            <w:r>
              <w:rPr>
                <w:sz w:val="20"/>
              </w:rPr>
              <w:t xml:space="preserve">Сфера деятельности организации (учреждения)</w:t>
            </w:r>
          </w:p>
        </w:tc>
        <w:tc>
          <w:tcPr>
            <w:gridSpan w:val="2"/>
            <w:tcW w:w="6407" w:type="dxa"/>
          </w:tcPr>
          <w:p>
            <w:pPr>
              <w:pStyle w:val="0"/>
            </w:pPr>
            <w:r>
              <w:rPr>
                <w:sz w:val="20"/>
              </w:rPr>
            </w:r>
          </w:p>
        </w:tc>
      </w:tr>
      <w:tr>
        <w:tc>
          <w:tcPr>
            <w:tcW w:w="2640" w:type="dxa"/>
          </w:tcPr>
          <w:p>
            <w:pPr>
              <w:pStyle w:val="0"/>
            </w:pPr>
            <w:r>
              <w:rPr>
                <w:sz w:val="20"/>
              </w:rPr>
              <w:t xml:space="preserve">Должность</w:t>
            </w:r>
          </w:p>
        </w:tc>
        <w:tc>
          <w:tcPr>
            <w:gridSpan w:val="2"/>
            <w:tcW w:w="6407" w:type="dxa"/>
          </w:tcPr>
          <w:p>
            <w:pPr>
              <w:pStyle w:val="0"/>
            </w:pPr>
            <w:r>
              <w:rPr>
                <w:sz w:val="20"/>
              </w:rPr>
            </w:r>
          </w:p>
        </w:tc>
      </w:tr>
      <w:tr>
        <w:tc>
          <w:tcPr>
            <w:gridSpan w:val="3"/>
            <w:tcW w:w="9047" w:type="dxa"/>
          </w:tcPr>
          <w:p>
            <w:pPr>
              <w:pStyle w:val="0"/>
            </w:pPr>
            <w:r>
              <w:rPr>
                <w:sz w:val="20"/>
              </w:rPr>
              <w:t xml:space="preserve">Профессиональные достижения за последние пять лет:</w:t>
            </w:r>
          </w:p>
        </w:tc>
      </w:tr>
      <w:tr>
        <w:tc>
          <w:tcPr>
            <w:gridSpan w:val="3"/>
            <w:tcW w:w="9047" w:type="dxa"/>
          </w:tcPr>
          <w:p>
            <w:pPr>
              <w:pStyle w:val="0"/>
            </w:pPr>
            <w:r>
              <w:rPr>
                <w:sz w:val="20"/>
              </w:rPr>
              <w:t xml:space="preserve">Какими Вы видите Ваши профессиональные перспективы?</w:t>
            </w:r>
          </w:p>
        </w:tc>
      </w:tr>
      <w:tr>
        <w:tc>
          <w:tcPr>
            <w:gridSpan w:val="3"/>
            <w:tcW w:w="9047" w:type="dxa"/>
          </w:tcPr>
          <w:p>
            <w:pPr>
              <w:pStyle w:val="0"/>
            </w:pPr>
            <w:r>
              <w:rPr>
                <w:sz w:val="20"/>
              </w:rPr>
              <w:t xml:space="preserve">Опыт участия в общественной работе:</w:t>
            </w:r>
          </w:p>
        </w:tc>
      </w:tr>
      <w:tr>
        <w:tc>
          <w:tcPr>
            <w:gridSpan w:val="3"/>
            <w:tcW w:w="9047" w:type="dxa"/>
          </w:tcPr>
          <w:p>
            <w:pPr>
              <w:pStyle w:val="0"/>
            </w:pPr>
            <w:r>
              <w:rPr>
                <w:sz w:val="20"/>
              </w:rPr>
            </w:r>
          </w:p>
        </w:tc>
      </w:tr>
      <w:tr>
        <w:tc>
          <w:tcPr>
            <w:gridSpan w:val="3"/>
            <w:tcW w:w="9047" w:type="dxa"/>
          </w:tcPr>
          <w:p>
            <w:pPr>
              <w:pStyle w:val="0"/>
            </w:pPr>
            <w:r>
              <w:rPr>
                <w:sz w:val="20"/>
              </w:rPr>
              <w:t xml:space="preserve">Чего бы Вы хотели добиться, участвуя в работе Общественного совета:</w:t>
            </w:r>
          </w:p>
        </w:tc>
      </w:tr>
      <w:tr>
        <w:tc>
          <w:tcPr>
            <w:gridSpan w:val="3"/>
            <w:tcW w:w="9047" w:type="dxa"/>
          </w:tcPr>
          <w:p>
            <w:pPr>
              <w:pStyle w:val="0"/>
            </w:pPr>
            <w:r>
              <w:rPr>
                <w:sz w:val="20"/>
              </w:rPr>
              <w:t xml:space="preserve">Опишите значимые проекты, разработанные или реализованные с Вашим участием. Какие общественные проблемы удалось решить с их помощью?</w:t>
            </w:r>
          </w:p>
        </w:tc>
      </w:tr>
      <w:tr>
        <w:tc>
          <w:tcPr>
            <w:gridSpan w:val="3"/>
            <w:tcW w:w="9047" w:type="dxa"/>
          </w:tcPr>
          <w:p>
            <w:pPr>
              <w:pStyle w:val="0"/>
            </w:pPr>
            <w:r>
              <w:rPr>
                <w:sz w:val="20"/>
              </w:rPr>
              <w:t xml:space="preserve">Привяжите Ваши социальные аккаунты:</w:t>
            </w:r>
          </w:p>
        </w:tc>
      </w:tr>
      <w:tr>
        <w:tc>
          <w:tcPr>
            <w:gridSpan w:val="3"/>
            <w:tcW w:w="9047" w:type="dxa"/>
          </w:tcPr>
          <w:p>
            <w:pPr>
              <w:pStyle w:val="0"/>
            </w:pPr>
            <w:r>
              <w:rPr>
                <w:sz w:val="20"/>
              </w:rPr>
              <w:t xml:space="preserve">Дополнительная информация:</w:t>
            </w:r>
          </w:p>
        </w:tc>
      </w:tr>
    </w:tbl>
    <w:p>
      <w:pPr>
        <w:pStyle w:val="0"/>
      </w:pPr>
      <w:r>
        <w:rPr>
          <w:sz w:val="20"/>
        </w:rPr>
      </w:r>
    </w:p>
    <w:tbl>
      <w:tblPr>
        <w:tblInd w:w="0" w:type="dxa"/>
        <w:tblLayout w:type="fixed"/>
        <w:tblCellMar>
          <w:top w:w="102" w:type="dxa"/>
          <w:left w:w="62" w:type="dxa"/>
          <w:bottom w:w="102" w:type="dxa"/>
          <w:right w:w="62" w:type="dxa"/>
        </w:tblCellMar>
      </w:tblPr>
      <w:tblGrid>
        <w:gridCol w:w="6659"/>
        <w:gridCol w:w="2388"/>
      </w:tblGrid>
      <w:tr>
        <w:tc>
          <w:tcPr>
            <w:gridSpan w:val="2"/>
            <w:tcW w:w="9047" w:type="dxa"/>
            <w:tcBorders>
              <w:top w:val="nil"/>
              <w:left w:val="nil"/>
              <w:bottom w:val="nil"/>
              <w:right w:val="nil"/>
            </w:tcBorders>
          </w:tcPr>
          <w:p>
            <w:pPr>
              <w:pStyle w:val="0"/>
              <w:jc w:val="both"/>
            </w:pPr>
            <w:r>
              <w:rPr>
                <w:sz w:val="20"/>
              </w:rPr>
              <w:t xml:space="preserve">Предоставление анкетных данных подтверждает достоверность вышеизложенной информации и свидетельствует о согласии на публикацию персональных данных, за исключением места проживания и данных о рождении.</w:t>
            </w:r>
          </w:p>
        </w:tc>
      </w:tr>
      <w:tr>
        <w:tc>
          <w:tcPr>
            <w:gridSpan w:val="2"/>
            <w:tcW w:w="9047" w:type="dxa"/>
            <w:tcBorders>
              <w:top w:val="nil"/>
              <w:left w:val="nil"/>
              <w:bottom w:val="nil"/>
              <w:right w:val="nil"/>
            </w:tcBorders>
          </w:tcPr>
          <w:p>
            <w:pPr>
              <w:pStyle w:val="0"/>
            </w:pPr>
            <w:r>
              <w:rPr>
                <w:sz w:val="20"/>
              </w:rPr>
            </w:r>
          </w:p>
        </w:tc>
      </w:tr>
      <w:tr>
        <w:tc>
          <w:tcPr>
            <w:tcW w:w="6659" w:type="dxa"/>
            <w:tcBorders>
              <w:top w:val="nil"/>
              <w:left w:val="nil"/>
              <w:bottom w:val="nil"/>
              <w:right w:val="nil"/>
            </w:tcBorders>
          </w:tcPr>
          <w:p>
            <w:pPr>
              <w:pStyle w:val="0"/>
            </w:pPr>
            <w:r>
              <w:rPr>
                <w:sz w:val="20"/>
              </w:rPr>
            </w:r>
          </w:p>
        </w:tc>
        <w:tc>
          <w:tcPr>
            <w:tcW w:w="2388" w:type="dxa"/>
            <w:tcBorders>
              <w:top w:val="nil"/>
              <w:left w:val="nil"/>
              <w:bottom w:val="nil"/>
              <w:right w:val="nil"/>
            </w:tcBorders>
          </w:tcPr>
          <w:p>
            <w:pPr>
              <w:pStyle w:val="0"/>
              <w:jc w:val="center"/>
            </w:pPr>
            <w:r>
              <w:rPr>
                <w:sz w:val="20"/>
              </w:rPr>
              <w:t xml:space="preserve">подпись</w:t>
            </w:r>
          </w:p>
        </w:tc>
      </w:tr>
    </w:tbl>
    <w:p>
      <w:pPr>
        <w:pStyle w:val="0"/>
      </w:pPr>
      <w:r>
        <w:rPr>
          <w:sz w:val="20"/>
        </w:rPr>
      </w:r>
    </w:p>
    <w:p>
      <w:pPr>
        <w:pStyle w:val="0"/>
      </w:pPr>
      <w:r>
        <w:rPr>
          <w:sz w:val="20"/>
        </w:rPr>
      </w:r>
    </w:p>
    <w:p>
      <w:pPr>
        <w:pStyle w:val="0"/>
      </w:pPr>
      <w:r>
        <w:rPr>
          <w:sz w:val="20"/>
        </w:rPr>
      </w:r>
    </w:p>
    <w:p>
      <w:pPr>
        <w:pStyle w:val="0"/>
      </w:pPr>
      <w:r>
        <w:rPr>
          <w:sz w:val="20"/>
        </w:rPr>
      </w:r>
    </w:p>
    <w:p>
      <w:pPr>
        <w:pStyle w:val="0"/>
      </w:pPr>
      <w:r>
        <w:rPr>
          <w:sz w:val="20"/>
        </w:rPr>
      </w:r>
    </w:p>
    <w:p>
      <w:pPr>
        <w:pStyle w:val="0"/>
        <w:outlineLvl w:val="1"/>
        <w:jc w:val="right"/>
      </w:pPr>
      <w:r>
        <w:rPr>
          <w:sz w:val="20"/>
        </w:rPr>
        <w:t xml:space="preserve">Приложение 2</w:t>
      </w:r>
    </w:p>
    <w:p>
      <w:pPr>
        <w:pStyle w:val="0"/>
        <w:jc w:val="right"/>
      </w:pPr>
      <w:r>
        <w:rPr>
          <w:sz w:val="20"/>
        </w:rPr>
        <w:t xml:space="preserve">к Положению</w:t>
      </w:r>
    </w:p>
    <w:p>
      <w:pPr>
        <w:pStyle w:val="0"/>
        <w:jc w:val="right"/>
      </w:pPr>
      <w:r>
        <w:rPr>
          <w:sz w:val="20"/>
        </w:rPr>
        <w:t xml:space="preserve">об Общественном совете при Главном</w:t>
      </w:r>
    </w:p>
    <w:p>
      <w:pPr>
        <w:pStyle w:val="0"/>
        <w:jc w:val="right"/>
      </w:pPr>
      <w:r>
        <w:rPr>
          <w:sz w:val="20"/>
        </w:rPr>
        <w:t xml:space="preserve">управлении государственной инспекции</w:t>
      </w:r>
    </w:p>
    <w:p>
      <w:pPr>
        <w:pStyle w:val="0"/>
        <w:jc w:val="right"/>
      </w:pPr>
      <w:r>
        <w:rPr>
          <w:sz w:val="20"/>
        </w:rPr>
        <w:t xml:space="preserve">по надзору за техническим состоянием</w:t>
      </w:r>
    </w:p>
    <w:p>
      <w:pPr>
        <w:pStyle w:val="0"/>
        <w:jc w:val="right"/>
      </w:pPr>
      <w:r>
        <w:rPr>
          <w:sz w:val="20"/>
        </w:rPr>
        <w:t xml:space="preserve">самоходных машин и других видов</w:t>
      </w:r>
    </w:p>
    <w:p>
      <w:pPr>
        <w:pStyle w:val="0"/>
        <w:jc w:val="right"/>
      </w:pPr>
      <w:r>
        <w:rPr>
          <w:sz w:val="20"/>
        </w:rPr>
        <w:t xml:space="preserve">техники Вологодской области</w:t>
      </w:r>
    </w:p>
    <w:p>
      <w:pPr>
        <w:pStyle w:val="0"/>
      </w:pPr>
      <w:r>
        <w:rPr>
          <w:sz w:val="20"/>
        </w:rPr>
      </w:r>
    </w:p>
    <w:tbl>
      <w:tblPr>
        <w:tblInd w:w="0" w:type="dxa"/>
        <w:tblLayout w:type="fixed"/>
        <w:tblCellMar>
          <w:top w:w="102" w:type="dxa"/>
          <w:left w:w="62" w:type="dxa"/>
          <w:bottom w:w="102" w:type="dxa"/>
          <w:right w:w="62" w:type="dxa"/>
        </w:tblCellMar>
      </w:tblPr>
      <w:tblGrid>
        <w:gridCol w:w="2615"/>
        <w:gridCol w:w="1668"/>
        <w:gridCol w:w="431"/>
        <w:gridCol w:w="1788"/>
        <w:gridCol w:w="2545"/>
      </w:tblGrid>
      <w:tr>
        <w:tc>
          <w:tcPr>
            <w:gridSpan w:val="5"/>
            <w:tcW w:w="9047" w:type="dxa"/>
            <w:tcBorders>
              <w:top w:val="nil"/>
              <w:left w:val="nil"/>
              <w:bottom w:val="nil"/>
              <w:right w:val="nil"/>
            </w:tcBorders>
          </w:tcPr>
          <w:bookmarkStart w:id="272" w:name="P272"/>
          <w:bookmarkEnd w:id="272"/>
          <w:p>
            <w:pPr>
              <w:pStyle w:val="0"/>
              <w:jc w:val="center"/>
            </w:pPr>
            <w:r>
              <w:rPr>
                <w:sz w:val="20"/>
              </w:rPr>
              <w:t xml:space="preserve">СОГЛАСИЕ</w:t>
            </w:r>
          </w:p>
          <w:p>
            <w:pPr>
              <w:pStyle w:val="0"/>
              <w:jc w:val="center"/>
            </w:pPr>
            <w:r>
              <w:rPr>
                <w:sz w:val="20"/>
              </w:rPr>
              <w:t xml:space="preserve">на обработку персональных данных</w:t>
            </w:r>
          </w:p>
        </w:tc>
      </w:tr>
      <w:tr>
        <w:tc>
          <w:tcPr>
            <w:gridSpan w:val="5"/>
            <w:tcW w:w="9047" w:type="dxa"/>
            <w:tcBorders>
              <w:top w:val="nil"/>
              <w:left w:val="nil"/>
              <w:bottom w:val="nil"/>
              <w:right w:val="nil"/>
            </w:tcBorders>
          </w:tcPr>
          <w:p>
            <w:pPr>
              <w:pStyle w:val="0"/>
            </w:pPr>
            <w:r>
              <w:rPr>
                <w:sz w:val="20"/>
              </w:rPr>
            </w:r>
          </w:p>
        </w:tc>
      </w:tr>
      <w:tr>
        <w:tc>
          <w:tcPr>
            <w:gridSpan w:val="5"/>
            <w:tcW w:w="9047" w:type="dxa"/>
            <w:tcBorders>
              <w:top w:val="nil"/>
              <w:left w:val="nil"/>
              <w:bottom w:val="nil"/>
              <w:right w:val="nil"/>
            </w:tcBorders>
          </w:tcPr>
          <w:p>
            <w:pPr>
              <w:pStyle w:val="0"/>
              <w:ind w:firstLine="283"/>
              <w:jc w:val="both"/>
            </w:pPr>
            <w:r>
              <w:rPr>
                <w:sz w:val="20"/>
              </w:rPr>
              <w:t xml:space="preserve">Я, _____________________________________________________________________,</w:t>
            </w:r>
          </w:p>
          <w:p>
            <w:pPr>
              <w:pStyle w:val="0"/>
              <w:jc w:val="both"/>
            </w:pPr>
            <w:r>
              <w:rPr>
                <w:sz w:val="20"/>
              </w:rPr>
              <w:t xml:space="preserve">паспорт серия ____ номер ______, кем и когда выдан ____________________________</w:t>
            </w:r>
          </w:p>
          <w:p>
            <w:pPr>
              <w:pStyle w:val="0"/>
              <w:jc w:val="both"/>
            </w:pPr>
            <w:r>
              <w:rPr>
                <w:sz w:val="20"/>
              </w:rPr>
              <w:t xml:space="preserve">_________________________________________________________________________,</w:t>
            </w:r>
          </w:p>
          <w:p>
            <w:pPr>
              <w:pStyle w:val="0"/>
              <w:jc w:val="both"/>
            </w:pPr>
            <w:r>
              <w:rPr>
                <w:sz w:val="20"/>
              </w:rPr>
              <w:t xml:space="preserve">код подразделения __________, проживающий по адресу: ________________________</w:t>
            </w:r>
          </w:p>
          <w:p>
            <w:pPr>
              <w:pStyle w:val="0"/>
              <w:jc w:val="both"/>
            </w:pPr>
            <w:r>
              <w:rPr>
                <w:sz w:val="20"/>
              </w:rPr>
              <w:t xml:space="preserve">__________________________________________________________________________:</w:t>
            </w:r>
          </w:p>
          <w:p>
            <w:pPr>
              <w:pStyle w:val="0"/>
              <w:ind w:firstLine="283"/>
              <w:jc w:val="both"/>
            </w:pPr>
            <w:r>
              <w:rPr>
                <w:sz w:val="20"/>
              </w:rPr>
              <w:t xml:space="preserve">1. Даю свое согласие Главному управлению государственной инспекции по надзору за техническим состоянием самоходных машин и других видов техники Вологодской области:</w:t>
            </w:r>
          </w:p>
          <w:p>
            <w:pPr>
              <w:pStyle w:val="0"/>
              <w:ind w:firstLine="283"/>
              <w:jc w:val="both"/>
            </w:pPr>
            <w:r>
              <w:rPr>
                <w:sz w:val="20"/>
              </w:rPr>
              <w:t xml:space="preserve">1.1. обработку (любое действие (операцию)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следующих моих персональных данных в рамках проведения мероприятий по отбору в члены общественного совета при Главном управлении государственной инспекции по надзору за техническим состоянием самоходных машин и других видов техники Вологодской области:</w:t>
            </w:r>
          </w:p>
          <w:p>
            <w:pPr>
              <w:pStyle w:val="0"/>
              <w:ind w:firstLine="283"/>
              <w:jc w:val="both"/>
            </w:pPr>
            <w:r>
              <w:rPr>
                <w:sz w:val="20"/>
              </w:rPr>
              <w:t xml:space="preserve">фамилия, имя, отчество;</w:t>
            </w:r>
          </w:p>
          <w:p>
            <w:pPr>
              <w:pStyle w:val="0"/>
              <w:ind w:firstLine="283"/>
              <w:jc w:val="both"/>
            </w:pPr>
            <w:r>
              <w:rPr>
                <w:sz w:val="20"/>
              </w:rPr>
              <w:t xml:space="preserve">дата рождения;</w:t>
            </w:r>
          </w:p>
          <w:p>
            <w:pPr>
              <w:pStyle w:val="0"/>
              <w:ind w:firstLine="283"/>
              <w:jc w:val="both"/>
            </w:pPr>
            <w:r>
              <w:rPr>
                <w:sz w:val="20"/>
              </w:rPr>
              <w:t xml:space="preserve">паспортные данные;</w:t>
            </w:r>
          </w:p>
          <w:p>
            <w:pPr>
              <w:pStyle w:val="0"/>
              <w:ind w:firstLine="283"/>
              <w:jc w:val="both"/>
            </w:pPr>
            <w:r>
              <w:rPr>
                <w:sz w:val="20"/>
              </w:rPr>
              <w:t xml:space="preserve">информация об образовании (оконченные учебные заведения, специальность(и) по образованию, ученая степень, ученое звание);</w:t>
            </w:r>
          </w:p>
          <w:p>
            <w:pPr>
              <w:pStyle w:val="0"/>
              <w:ind w:firstLine="283"/>
              <w:jc w:val="both"/>
            </w:pPr>
            <w:r>
              <w:rPr>
                <w:sz w:val="20"/>
              </w:rPr>
              <w:t xml:space="preserve">контактная информация (адрес регистрации, адрес фактического проживания, контактные телефоны);</w:t>
            </w:r>
          </w:p>
          <w:p>
            <w:pPr>
              <w:pStyle w:val="0"/>
              <w:ind w:firstLine="283"/>
              <w:jc w:val="both"/>
            </w:pPr>
            <w:r>
              <w:rPr>
                <w:sz w:val="20"/>
              </w:rPr>
              <w:t xml:space="preserve">фотография;</w:t>
            </w:r>
          </w:p>
          <w:p>
            <w:pPr>
              <w:pStyle w:val="0"/>
              <w:ind w:firstLine="283"/>
              <w:jc w:val="both"/>
            </w:pPr>
            <w:r>
              <w:rPr>
                <w:sz w:val="20"/>
              </w:rPr>
              <w:t xml:space="preserve">информация о трудовой деятельности;</w:t>
            </w:r>
          </w:p>
          <w:p>
            <w:pPr>
              <w:pStyle w:val="0"/>
              <w:ind w:firstLine="283"/>
              <w:jc w:val="both"/>
            </w:pPr>
            <w:r>
              <w:rPr>
                <w:sz w:val="20"/>
              </w:rPr>
              <w:t xml:space="preserve">информация об общественной деятельности;</w:t>
            </w:r>
          </w:p>
          <w:p>
            <w:pPr>
              <w:pStyle w:val="0"/>
              <w:ind w:firstLine="283"/>
              <w:jc w:val="both"/>
            </w:pPr>
            <w:r>
              <w:rPr>
                <w:sz w:val="20"/>
              </w:rPr>
              <w:t xml:space="preserve">1.2. размещение моих персональных данных (фамилия, имя, отчество, дата рождения, информация об образовании, трудовой и общественной деятельности) на официальном сайте Главного управления государственной инспекции по надзору за техническим состоянием самоходных машин и других видов техники Вологодской области в рамках проведения мероприятий по отбору в члены общественного совета при Главном управлении государственной инспекции по надзору за техническим состоянием самоходных машин и других видов техники Вологодской области.</w:t>
            </w:r>
          </w:p>
          <w:p>
            <w:pPr>
              <w:pStyle w:val="0"/>
              <w:ind w:firstLine="283"/>
              <w:jc w:val="both"/>
            </w:pPr>
            <w:r>
              <w:rPr>
                <w:sz w:val="20"/>
              </w:rPr>
              <w:t xml:space="preserve">2. Я проинформирован(а), что под обработкой персональных данных понимаются действия (операции) с персональными данными в рамках выполнения требований Федерального </w:t>
            </w:r>
            <w:hyperlink w:history="0" r:id="rId13" w:tooltip="Федеральный закон от 27.07.2006 N 152-ФЗ (ред. от 08.08.2024) &quot;О персональных данных&quot; ------------ Недействующая редакция {КонсультантПлюс}">
              <w:r>
                <w:rPr>
                  <w:sz w:val="20"/>
                  <w:color w:val="0000ff"/>
                </w:rPr>
                <w:t xml:space="preserve">закона</w:t>
              </w:r>
            </w:hyperlink>
            <w:r>
              <w:rPr>
                <w:sz w:val="20"/>
              </w:rPr>
              <w:t xml:space="preserve"> от 27 июля 2006 года N 152-ФЗ "О персональных данных", конфиденциальность персональных данных соблюдается в рамках исполнения операторами законодательства Российской Федерации.</w:t>
            </w:r>
          </w:p>
          <w:p>
            <w:pPr>
              <w:pStyle w:val="0"/>
              <w:ind w:firstLine="283"/>
              <w:jc w:val="both"/>
            </w:pPr>
            <w:r>
              <w:rPr>
                <w:sz w:val="20"/>
              </w:rPr>
              <w:t xml:space="preserve">3. Согласие дается мною для целей проведения мероприятий по отбору моей кандидатуры в состав общественного совета при Главном управлении государственной инспекции по надзору за техническим состоянием самоходных машин и других видов техники Вологодской области.</w:t>
            </w:r>
          </w:p>
          <w:p>
            <w:pPr>
              <w:pStyle w:val="0"/>
              <w:ind w:firstLine="283"/>
              <w:jc w:val="both"/>
            </w:pPr>
            <w:r>
              <w:rPr>
                <w:sz w:val="20"/>
              </w:rPr>
              <w:t xml:space="preserve">Настоящее согласие предоставляется на осуществление любых действий в отношении моих персональных данных, которые необходимы или желаемы для достижения указанных выше целей, включая (без ограничения)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трансграничную передачу персональных данных, а также осуществление любых иных действий с моими персональными данными с учетом федерального законодательства, в том числе на передачу моих персональных данных (фамилия, имя, отчество, дата и место рождения, адрес регистрации, вид, серия и номер документа, удостоверяющего личность, наименование органа, выдавшего его, дата выдачи, информация о трудовой и общественной деятельности) в Главное управление государственной инспекции по надзору за техническим состоянием самоходных машин и других видов техники Вологодской области.</w:t>
            </w:r>
          </w:p>
          <w:p>
            <w:pPr>
              <w:pStyle w:val="0"/>
              <w:ind w:firstLine="283"/>
              <w:jc w:val="both"/>
            </w:pPr>
            <w:r>
              <w:rPr>
                <w:sz w:val="20"/>
              </w:rPr>
              <w:t xml:space="preserve">В случае неправомерного использования предоставленных мною персональных данных согласие отзывается моим письменным заявлением.</w:t>
            </w:r>
          </w:p>
          <w:p>
            <w:pPr>
              <w:pStyle w:val="0"/>
              <w:ind w:firstLine="283"/>
              <w:jc w:val="both"/>
            </w:pPr>
            <w:r>
              <w:rPr>
                <w:sz w:val="20"/>
              </w:rPr>
              <w:t xml:space="preserve">Данное согласие действует до момента отзыва моего согласия на обработку моих персональных данных.</w:t>
            </w:r>
          </w:p>
          <w:p>
            <w:pPr>
              <w:pStyle w:val="0"/>
              <w:ind w:firstLine="283"/>
              <w:jc w:val="both"/>
            </w:pPr>
            <w:r>
              <w:rPr>
                <w:sz w:val="20"/>
              </w:rPr>
              <w:t xml:space="preserve">Подтверждаю, что ознакомлена) с Федеральным </w:t>
            </w:r>
            <w:hyperlink w:history="0" r:id="rId14" w:tooltip="Федеральный закон от 27.07.2006 N 152-ФЗ (ред. от 08.08.2024) &quot;О персональных данных&quot; ------------ Недействующая редакция {КонсультантПлюс}">
              <w:r>
                <w:rPr>
                  <w:sz w:val="20"/>
                  <w:color w:val="0000ff"/>
                </w:rPr>
                <w:t xml:space="preserve">законом</w:t>
              </w:r>
            </w:hyperlink>
            <w:r>
              <w:rPr>
                <w:sz w:val="20"/>
              </w:rPr>
              <w:t xml:space="preserve"> от 27 июля 2006 года N 152-ФЗ "О персональных данных", права и обязанности в области защиты персональных данных мне разъяснены,</w:t>
            </w:r>
          </w:p>
        </w:tc>
      </w:tr>
      <w:tr>
        <w:tc>
          <w:tcPr>
            <w:gridSpan w:val="5"/>
            <w:tcW w:w="9047" w:type="dxa"/>
            <w:tcBorders>
              <w:top w:val="nil"/>
              <w:left w:val="nil"/>
              <w:bottom w:val="nil"/>
              <w:right w:val="nil"/>
            </w:tcBorders>
          </w:tcPr>
          <w:p>
            <w:pPr>
              <w:pStyle w:val="0"/>
            </w:pPr>
            <w:r>
              <w:rPr>
                <w:sz w:val="20"/>
              </w:rPr>
            </w:r>
          </w:p>
        </w:tc>
      </w:tr>
      <w:tr>
        <w:tc>
          <w:tcPr>
            <w:gridSpan w:val="5"/>
            <w:tcW w:w="9047" w:type="dxa"/>
            <w:tcBorders>
              <w:top w:val="nil"/>
              <w:left w:val="nil"/>
              <w:bottom w:val="nil"/>
              <w:right w:val="nil"/>
            </w:tcBorders>
          </w:tcPr>
          <w:p>
            <w:pPr>
              <w:pStyle w:val="0"/>
            </w:pPr>
            <w:r>
              <w:rPr>
                <w:sz w:val="20"/>
              </w:rPr>
              <w:t xml:space="preserve">"__"_______________ года</w:t>
            </w:r>
          </w:p>
        </w:tc>
      </w:tr>
      <w:tr>
        <w:tc>
          <w:tcPr>
            <w:gridSpan w:val="5"/>
            <w:tcW w:w="9047" w:type="dxa"/>
            <w:tcBorders>
              <w:top w:val="nil"/>
              <w:left w:val="nil"/>
              <w:bottom w:val="nil"/>
              <w:right w:val="nil"/>
            </w:tcBorders>
          </w:tcPr>
          <w:p>
            <w:pPr>
              <w:pStyle w:val="0"/>
            </w:pPr>
            <w:r>
              <w:rPr>
                <w:sz w:val="20"/>
              </w:rPr>
            </w:r>
          </w:p>
        </w:tc>
      </w:tr>
      <w:tr>
        <w:tc>
          <w:tcPr>
            <w:tcW w:w="2615" w:type="dxa"/>
            <w:tcBorders>
              <w:top w:val="nil"/>
              <w:left w:val="nil"/>
              <w:bottom w:val="nil"/>
              <w:right w:val="nil"/>
            </w:tcBorders>
            <w:vMerge w:val="restart"/>
          </w:tcPr>
          <w:p>
            <w:pPr>
              <w:pStyle w:val="0"/>
            </w:pPr>
            <w:r>
              <w:rPr>
                <w:sz w:val="20"/>
              </w:rPr>
            </w:r>
          </w:p>
        </w:tc>
        <w:tc>
          <w:tcPr>
            <w:tcW w:w="1668" w:type="dxa"/>
            <w:tcBorders>
              <w:top w:val="nil"/>
              <w:left w:val="nil"/>
              <w:bottom w:val="single" w:sz="4"/>
              <w:right w:val="nil"/>
            </w:tcBorders>
          </w:tcPr>
          <w:p>
            <w:pPr>
              <w:pStyle w:val="0"/>
            </w:pPr>
            <w:r>
              <w:rPr>
                <w:sz w:val="20"/>
              </w:rPr>
            </w:r>
          </w:p>
        </w:tc>
        <w:tc>
          <w:tcPr>
            <w:tcW w:w="431" w:type="dxa"/>
            <w:tcBorders>
              <w:top w:val="nil"/>
              <w:left w:val="nil"/>
              <w:bottom w:val="nil"/>
              <w:right w:val="nil"/>
            </w:tcBorders>
          </w:tcPr>
          <w:p>
            <w:pPr>
              <w:pStyle w:val="0"/>
            </w:pPr>
            <w:r>
              <w:rPr>
                <w:sz w:val="20"/>
              </w:rPr>
            </w:r>
          </w:p>
        </w:tc>
        <w:tc>
          <w:tcPr>
            <w:tcW w:w="1788" w:type="dxa"/>
            <w:tcBorders>
              <w:top w:val="nil"/>
              <w:left w:val="nil"/>
              <w:bottom w:val="single" w:sz="4"/>
              <w:right w:val="nil"/>
            </w:tcBorders>
          </w:tcPr>
          <w:p>
            <w:pPr>
              <w:pStyle w:val="0"/>
            </w:pPr>
            <w:r>
              <w:rPr>
                <w:sz w:val="20"/>
              </w:rPr>
            </w:r>
          </w:p>
        </w:tc>
        <w:tc>
          <w:tcPr>
            <w:tcW w:w="2545" w:type="dxa"/>
            <w:tcBorders>
              <w:top w:val="nil"/>
              <w:left w:val="nil"/>
              <w:bottom w:val="nil"/>
              <w:right w:val="nil"/>
            </w:tcBorders>
            <w:vMerge w:val="restart"/>
          </w:tcPr>
          <w:p>
            <w:pPr>
              <w:pStyle w:val="0"/>
            </w:pPr>
            <w:r>
              <w:rPr>
                <w:sz w:val="20"/>
              </w:rPr>
            </w:r>
          </w:p>
        </w:tc>
      </w:tr>
      <w:tr>
        <w:tblPrEx>
          <w:tblBorders>
            <w:insideH w:val="single" w:sz="4"/>
          </w:tblBorders>
        </w:tblPrEx>
        <w:tc>
          <w:tcPr>
            <w:tcBorders>
              <w:top w:val="nil"/>
              <w:left w:val="nil"/>
              <w:bottom w:val="nil"/>
              <w:right w:val="nil"/>
            </w:tcBorders>
            <w:vMerge w:val="continue"/>
          </w:tcPr>
          <w:p/>
        </w:tc>
        <w:tc>
          <w:tcPr>
            <w:tcW w:w="1668" w:type="dxa"/>
            <w:tcBorders>
              <w:top w:val="single" w:sz="4"/>
              <w:left w:val="nil"/>
              <w:bottom w:val="nil"/>
              <w:right w:val="nil"/>
            </w:tcBorders>
          </w:tcPr>
          <w:p>
            <w:pPr>
              <w:pStyle w:val="0"/>
              <w:jc w:val="center"/>
            </w:pPr>
            <w:r>
              <w:rPr>
                <w:sz w:val="20"/>
              </w:rPr>
              <w:t xml:space="preserve">(подпись)</w:t>
            </w:r>
          </w:p>
        </w:tc>
        <w:tc>
          <w:tcPr>
            <w:tcW w:w="431" w:type="dxa"/>
            <w:tcBorders>
              <w:top w:val="nil"/>
              <w:left w:val="nil"/>
              <w:bottom w:val="nil"/>
              <w:right w:val="nil"/>
            </w:tcBorders>
          </w:tcPr>
          <w:p>
            <w:pPr>
              <w:pStyle w:val="0"/>
            </w:pPr>
            <w:r>
              <w:rPr>
                <w:sz w:val="20"/>
              </w:rPr>
            </w:r>
          </w:p>
        </w:tc>
        <w:tc>
          <w:tcPr>
            <w:tcW w:w="1788" w:type="dxa"/>
            <w:tcBorders>
              <w:top w:val="single" w:sz="4"/>
              <w:left w:val="nil"/>
              <w:bottom w:val="nil"/>
              <w:right w:val="nil"/>
            </w:tcBorders>
          </w:tcPr>
          <w:p>
            <w:pPr>
              <w:pStyle w:val="0"/>
              <w:jc w:val="center"/>
            </w:pPr>
            <w:r>
              <w:rPr>
                <w:sz w:val="20"/>
              </w:rPr>
              <w:t xml:space="preserve">(Ф.И.О.)</w:t>
            </w:r>
          </w:p>
        </w:tc>
        <w:tc>
          <w:tcPr>
            <w:tcBorders>
              <w:top w:val="nil"/>
              <w:left w:val="nil"/>
              <w:bottom w:val="nil"/>
              <w:right w:val="nil"/>
            </w:tcBorders>
            <w:vMerge w:val="continue"/>
          </w:tcPr>
          <w:p/>
        </w:tc>
      </w:tr>
    </w:tbl>
    <w:p>
      <w:pPr>
        <w:pStyle w:val="0"/>
      </w:pPr>
      <w:r>
        <w:rPr>
          <w:sz w:val="20"/>
        </w:rPr>
      </w:r>
    </w:p>
    <w:p>
      <w:pPr>
        <w:pStyle w:val="0"/>
      </w:pPr>
      <w:r>
        <w:rPr>
          <w:sz w:val="20"/>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Главного управления государственной инспекции по надзору за техническим состоянием самоходных машин и других видо...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02.01.2026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Arial" w:hAnsi="Arial" w:cs="Arial"/>
      <w:sz w:val="20"/>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095&amp;n=73175&amp;dst=100010" TargetMode = "External"/><Relationship Id="rId9" Type="http://schemas.openxmlformats.org/officeDocument/2006/relationships/hyperlink" Target="https://login.consultant.ru/link/?req=doc&amp;base=RLAW095&amp;n=194464&amp;dst=100006" TargetMode = "External"/><Relationship Id="rId10" Type="http://schemas.openxmlformats.org/officeDocument/2006/relationships/hyperlink" Target="https://login.consultant.ru/link/?req=doc&amp;base=RLAW095&amp;n=176840" TargetMode = "External"/><Relationship Id="rId11" Type="http://schemas.openxmlformats.org/officeDocument/2006/relationships/hyperlink" Target="https://login.consultant.ru/link/?req=doc&amp;base=LAW&amp;n=2875" TargetMode = "External"/><Relationship Id="rId12" Type="http://schemas.openxmlformats.org/officeDocument/2006/relationships/hyperlink" Target="https://login.consultant.ru/link/?req=doc&amp;base=RLAW095&amp;n=240320&amp;dst=100031" TargetMode = "External"/><Relationship Id="rId13" Type="http://schemas.openxmlformats.org/officeDocument/2006/relationships/hyperlink" Target="https://login.consultant.ru/link/?req=doc&amp;base=LAW&amp;n=482686" TargetMode = "External"/><Relationship Id="rId14" Type="http://schemas.openxmlformats.org/officeDocument/2006/relationships/hyperlink" Target="https://login.consultant.ru/link/?req=doc&amp;base=LAW&amp;n=482686"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4025.00.52</Application>
  <Company>КонсультантПлюс Версия 4025.00.52</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Главного управления государственной инспекции по надзору за техническим состоянием самоходных машин и других видов техники Вологодской области от 19.06.2025 N 37
"Об Общественном совете при Главном управлении государственной инспекции по надзору за техническим состоянием самоходных машин и других видов техники Вологодской области"
(вместе с "Положением об Общественном совете при Главном управлении государственной инспекции по надзору за техническим состоянием самоходных машин и других видов техники В</dc:title>
  <dcterms:created xsi:type="dcterms:W3CDTF">2026-01-02T14:12:07Z</dcterms:created>
</cp:coreProperties>
</file>