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Постановление Правительства Воронежской обл. от 07.03.2025 N 146</w:t>
              <w:br/>
              <w:t xml:space="preserve">"Об утверждении Порядка определения объема и предоставления субсидий из областного бюджета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добровольчества (волонтерства) "Регион добрых дел" автономной некоммерческой организации "Ресурсный центр организации добровольческой деятельности "Волонтеры добра" и Воронежской региональной культурно-просветительской общественной организации "Наша история" в 2025 году"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25.05.2025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ВОРОНЕЖСКОЙ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7 марта 2025 г. N 146</w:t>
      </w:r>
    </w:p>
    <w:p>
      <w:pPr>
        <w:pStyle w:val="2"/>
        <w:jc w:val="center"/>
      </w:pPr>
      <w:r>
        <w:rPr>
          <w:sz w:val="20"/>
        </w:rPr>
      </w:r>
    </w:p>
    <w:p>
      <w:pPr>
        <w:pStyle w:val="2"/>
        <w:jc w:val="center"/>
      </w:pPr>
      <w:r>
        <w:rPr>
          <w:sz w:val="20"/>
        </w:rPr>
        <w:t xml:space="preserve">ОБ УТВЕРЖДЕНИИ ПОРЯДКА ОПРЕДЕЛЕНИЯ ОБЪЕМА И ПРЕДОСТАВЛЕНИЯ</w:t>
      </w:r>
    </w:p>
    <w:p>
      <w:pPr>
        <w:pStyle w:val="2"/>
        <w:jc w:val="center"/>
      </w:pPr>
      <w:r>
        <w:rPr>
          <w:sz w:val="20"/>
        </w:rPr>
        <w:t xml:space="preserve">СУБСИДИЙ ИЗ ОБЛАСТНОГО БЮДЖЕТА НА РЕАЛИЗАЦИЮ ПРАКТИК</w:t>
      </w:r>
    </w:p>
    <w:p>
      <w:pPr>
        <w:pStyle w:val="2"/>
        <w:jc w:val="center"/>
      </w:pPr>
      <w:r>
        <w:rPr>
          <w:sz w:val="20"/>
        </w:rPr>
        <w:t xml:space="preserve">ПОДДЕРЖКИ ДОБРОВОЛЬЧЕСТВА (ВОЛОНТЕРСТВА) ПО ИТОГАМ</w:t>
      </w:r>
    </w:p>
    <w:p>
      <w:pPr>
        <w:pStyle w:val="2"/>
        <w:jc w:val="center"/>
      </w:pPr>
      <w:r>
        <w:rPr>
          <w:sz w:val="20"/>
        </w:rPr>
        <w:t xml:space="preserve">ПРОВЕДЕНИЯ ЕЖЕГОДНОГО ВСЕРОССИЙСКОГО КОНКУРСА ЛУЧШИХ</w:t>
      </w:r>
    </w:p>
    <w:p>
      <w:pPr>
        <w:pStyle w:val="2"/>
        <w:jc w:val="center"/>
      </w:pPr>
      <w:r>
        <w:rPr>
          <w:sz w:val="20"/>
        </w:rPr>
        <w:t xml:space="preserve">РЕГИОНАЛЬНЫХ ПРАКТИК ПОДДЕРЖКИ ДОБРОВОЛЬЧЕСТВА</w:t>
      </w:r>
    </w:p>
    <w:p>
      <w:pPr>
        <w:pStyle w:val="2"/>
        <w:jc w:val="center"/>
      </w:pPr>
      <w:r>
        <w:rPr>
          <w:sz w:val="20"/>
        </w:rPr>
        <w:t xml:space="preserve">(ВОЛОНТЕРСТВА) "РЕГИОН ДОБРЫХ ДЕЛ" АВТОНОМНОЙ НЕКОММЕРЧЕСКОЙ</w:t>
      </w:r>
    </w:p>
    <w:p>
      <w:pPr>
        <w:pStyle w:val="2"/>
        <w:jc w:val="center"/>
      </w:pPr>
      <w:r>
        <w:rPr>
          <w:sz w:val="20"/>
        </w:rPr>
        <w:t xml:space="preserve">ОРГАНИЗАЦИИ "РЕСУРСНЫЙ ЦЕНТР ОРГАНИЗАЦИИ ДОБРОВОЛЬЧЕСКОЙ</w:t>
      </w:r>
    </w:p>
    <w:p>
      <w:pPr>
        <w:pStyle w:val="2"/>
        <w:jc w:val="center"/>
      </w:pPr>
      <w:r>
        <w:rPr>
          <w:sz w:val="20"/>
        </w:rPr>
        <w:t xml:space="preserve">ДЕЯТЕЛЬНОСТИ "ВОЛОНТЕРЫ ДОБРА" И ВОРОНЕЖСКОЙ РЕГИОНАЛЬНОЙ</w:t>
      </w:r>
    </w:p>
    <w:p>
      <w:pPr>
        <w:pStyle w:val="2"/>
        <w:jc w:val="center"/>
      </w:pPr>
      <w:r>
        <w:rPr>
          <w:sz w:val="20"/>
        </w:rPr>
        <w:t xml:space="preserve">КУЛЬТУРНО-ПРОСВЕТИТЕЛЬСКОЙ ОБЩЕСТВЕННОЙ ОРГАНИЗАЦИИ</w:t>
      </w:r>
    </w:p>
    <w:p>
      <w:pPr>
        <w:pStyle w:val="2"/>
        <w:jc w:val="center"/>
      </w:pPr>
      <w:r>
        <w:rPr>
          <w:sz w:val="20"/>
        </w:rPr>
        <w:t xml:space="preserve">"НАША ИСТОРИЯ" В 2025 ГОДУ</w:t>
      </w:r>
    </w:p>
    <w:p>
      <w:pPr>
        <w:pStyle w:val="0"/>
        <w:jc w:val="both"/>
      </w:pPr>
      <w:r>
        <w:rPr>
          <w:sz w:val="20"/>
        </w:rPr>
      </w:r>
    </w:p>
    <w:p>
      <w:pPr>
        <w:pStyle w:val="0"/>
        <w:ind w:firstLine="540"/>
        <w:jc w:val="both"/>
      </w:pPr>
      <w:r>
        <w:rPr>
          <w:sz w:val="20"/>
        </w:rPr>
        <w:t xml:space="preserve">В соответствии со </w:t>
      </w:r>
      <w:hyperlink w:history="0" r:id="rId7"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8"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9" w:tooltip="Постановление Правительства Воронежской обл. от 17.12.2013 N 1102 (ред. от 21.02.2025) &quot;Об утверждении государственной программы Воронежской области &quot;Развитие образования&quot; {КонсультантПлюс}">
        <w:r>
          <w:rPr>
            <w:sz w:val="20"/>
            <w:color w:val="0000ff"/>
          </w:rPr>
          <w:t xml:space="preserve">постановлением</w:t>
        </w:r>
      </w:hyperlink>
      <w:r>
        <w:rPr>
          <w:sz w:val="20"/>
        </w:rPr>
        <w:t xml:space="preserve"> Правительства Воронежской области от 17.12.2013 N 1102 "Об утверждении государственной программы Воронежской области "Развитие образования", протоколом заседания Экспертной комиссии Всероссийского конкурса лучших региональных практик поддержки добровольчества (волонтерства) "Регион добрых дел" от 11.06.2024 N 1 Правительство Воронежской области постановляет:</w:t>
      </w:r>
    </w:p>
    <w:p>
      <w:pPr>
        <w:pStyle w:val="0"/>
        <w:spacing w:before="200" w:line-rule="auto"/>
        <w:ind w:firstLine="540"/>
        <w:jc w:val="both"/>
      </w:pPr>
      <w:r>
        <w:rPr>
          <w:sz w:val="20"/>
        </w:rPr>
        <w:t xml:space="preserve">1. Утвердить </w:t>
      </w:r>
      <w:hyperlink w:history="0" w:anchor="P35" w:tooltip="ПОРЯДОК">
        <w:r>
          <w:rPr>
            <w:sz w:val="20"/>
            <w:color w:val="0000ff"/>
          </w:rPr>
          <w:t xml:space="preserve">Порядок</w:t>
        </w:r>
      </w:hyperlink>
      <w:r>
        <w:rPr>
          <w:sz w:val="20"/>
        </w:rPr>
        <w:t xml:space="preserve"> определения объема и предоставления субсидий из областного бюджета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добровольчества (волонтерства) "Регион добрых дел" автономной некоммерческой организации "Ресурсный центр организации добровольческой деятельности "Волонтеры добра" и Воронежской региональной культурно-просветительской общественной организации "Наша история" в 2025 году согласно приложению к настоящему постановлению.</w:t>
      </w:r>
    </w:p>
    <w:p>
      <w:pPr>
        <w:pStyle w:val="0"/>
        <w:spacing w:before="200" w:line-rule="auto"/>
        <w:ind w:firstLine="540"/>
        <w:jc w:val="both"/>
      </w:pPr>
      <w:r>
        <w:rPr>
          <w:sz w:val="20"/>
        </w:rPr>
        <w:t xml:space="preserve">2. Контроль за исполнением настоящего постановления возложить на заместителя Губернатора Воронежской области Маслова Д.Н.</w:t>
      </w:r>
    </w:p>
    <w:p>
      <w:pPr>
        <w:pStyle w:val="0"/>
        <w:jc w:val="both"/>
      </w:pPr>
      <w:r>
        <w:rPr>
          <w:sz w:val="20"/>
        </w:rPr>
      </w:r>
    </w:p>
    <w:p>
      <w:pPr>
        <w:pStyle w:val="0"/>
        <w:jc w:val="right"/>
      </w:pPr>
      <w:r>
        <w:rPr>
          <w:sz w:val="20"/>
        </w:rPr>
        <w:t xml:space="preserve">Губернатор Воронежской области</w:t>
      </w:r>
    </w:p>
    <w:p>
      <w:pPr>
        <w:pStyle w:val="0"/>
        <w:jc w:val="right"/>
      </w:pPr>
      <w:r>
        <w:rPr>
          <w:sz w:val="20"/>
        </w:rPr>
        <w:t xml:space="preserve">А.В.ГУСЕВ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Воронежской области</w:t>
      </w:r>
    </w:p>
    <w:p>
      <w:pPr>
        <w:pStyle w:val="0"/>
        <w:jc w:val="right"/>
      </w:pPr>
      <w:r>
        <w:rPr>
          <w:sz w:val="20"/>
        </w:rPr>
        <w:t xml:space="preserve">от 07.03.2025 N 146</w:t>
      </w:r>
    </w:p>
    <w:p>
      <w:pPr>
        <w:pStyle w:val="0"/>
        <w:jc w:val="both"/>
      </w:pPr>
      <w:r>
        <w:rPr>
          <w:sz w:val="20"/>
        </w:rPr>
      </w:r>
    </w:p>
    <w:bookmarkStart w:id="35" w:name="P35"/>
    <w:bookmarkEnd w:id="35"/>
    <w:p>
      <w:pPr>
        <w:pStyle w:val="2"/>
        <w:jc w:val="center"/>
      </w:pPr>
      <w:r>
        <w:rPr>
          <w:sz w:val="20"/>
        </w:rPr>
        <w:t xml:space="preserve">ПОРЯДОК</w:t>
      </w:r>
    </w:p>
    <w:p>
      <w:pPr>
        <w:pStyle w:val="2"/>
        <w:jc w:val="center"/>
      </w:pPr>
      <w:r>
        <w:rPr>
          <w:sz w:val="20"/>
        </w:rPr>
        <w:t xml:space="preserve">ОПРЕДЕЛЕНИЯ ОБЪЕМА И ПРЕДОСТАВЛЕНИЯ СУБСИДИЙ ИЗ ОБЛАСТНОГО</w:t>
      </w:r>
    </w:p>
    <w:p>
      <w:pPr>
        <w:pStyle w:val="2"/>
        <w:jc w:val="center"/>
      </w:pPr>
      <w:r>
        <w:rPr>
          <w:sz w:val="20"/>
        </w:rPr>
        <w:t xml:space="preserve">БЮДЖЕТА НА РЕАЛИЗАЦИЮ ПРАКТИК ПОДДЕРЖКИ ДОБРОВОЛЬЧЕСТВА</w:t>
      </w:r>
    </w:p>
    <w:p>
      <w:pPr>
        <w:pStyle w:val="2"/>
        <w:jc w:val="center"/>
      </w:pPr>
      <w:r>
        <w:rPr>
          <w:sz w:val="20"/>
        </w:rPr>
        <w:t xml:space="preserve">(ВОЛОНТЕРСТВА) ПО ИТОГАМ ПРОВЕДЕНИЯ ЕЖЕГОДНОГО</w:t>
      </w:r>
    </w:p>
    <w:p>
      <w:pPr>
        <w:pStyle w:val="2"/>
        <w:jc w:val="center"/>
      </w:pPr>
      <w:r>
        <w:rPr>
          <w:sz w:val="20"/>
        </w:rPr>
        <w:t xml:space="preserve">ВСЕРОССИЙСКОГО КОНКУРСА ЛУЧШИХ РЕГИОНАЛЬНЫХ ПРАКТИК</w:t>
      </w:r>
    </w:p>
    <w:p>
      <w:pPr>
        <w:pStyle w:val="2"/>
        <w:jc w:val="center"/>
      </w:pPr>
      <w:r>
        <w:rPr>
          <w:sz w:val="20"/>
        </w:rPr>
        <w:t xml:space="preserve">ПОДДЕРЖКИ ДОБРОВОЛЬЧЕСТВА (ВОЛОНТЕРСТВА) "РЕГИОН ДОБРЫХ ДЕЛ"</w:t>
      </w:r>
    </w:p>
    <w:p>
      <w:pPr>
        <w:pStyle w:val="2"/>
        <w:jc w:val="center"/>
      </w:pPr>
      <w:r>
        <w:rPr>
          <w:sz w:val="20"/>
        </w:rPr>
        <w:t xml:space="preserve">АВТОНОМНОЙ НЕКОММЕРЧЕСКОЙ ОРГАНИЗАЦИИ "РЕСУРСНЫЙ ЦЕНТР</w:t>
      </w:r>
    </w:p>
    <w:p>
      <w:pPr>
        <w:pStyle w:val="2"/>
        <w:jc w:val="center"/>
      </w:pPr>
      <w:r>
        <w:rPr>
          <w:sz w:val="20"/>
        </w:rPr>
        <w:t xml:space="preserve">ОРГАНИЗАЦИИ ДОБРОВОЛЬЧЕСКОЙ ДЕЯТЕЛЬНОСТИ "ВОЛОНТЕРЫ ДОБРА"</w:t>
      </w:r>
    </w:p>
    <w:p>
      <w:pPr>
        <w:pStyle w:val="2"/>
        <w:jc w:val="center"/>
      </w:pPr>
      <w:r>
        <w:rPr>
          <w:sz w:val="20"/>
        </w:rPr>
        <w:t xml:space="preserve">И ВОРОНЕЖСКОЙ РЕГИОНАЛЬНОЙ КУЛЬТУРНО-ПРОСВЕТИТЕЛЬСКОЙ</w:t>
      </w:r>
    </w:p>
    <w:p>
      <w:pPr>
        <w:pStyle w:val="2"/>
        <w:jc w:val="center"/>
      </w:pPr>
      <w:r>
        <w:rPr>
          <w:sz w:val="20"/>
        </w:rPr>
        <w:t xml:space="preserve">ОБЩЕСТВЕННОЙ ОРГАНИЗАЦИИ "НАША ИСТОРИЯ" В 2025 ГОДУ</w:t>
      </w:r>
    </w:p>
    <w:p>
      <w:pPr>
        <w:pStyle w:val="0"/>
        <w:jc w:val="both"/>
      </w:pPr>
      <w:r>
        <w:rPr>
          <w:sz w:val="20"/>
        </w:rPr>
      </w:r>
    </w:p>
    <w:p>
      <w:pPr>
        <w:pStyle w:val="2"/>
        <w:outlineLvl w:val="1"/>
        <w:jc w:val="center"/>
      </w:pPr>
      <w:r>
        <w:rPr>
          <w:sz w:val="20"/>
        </w:rPr>
        <w:t xml:space="preserve">1. Общие положения о предоставлении субсидии</w:t>
      </w:r>
    </w:p>
    <w:p>
      <w:pPr>
        <w:pStyle w:val="0"/>
        <w:jc w:val="both"/>
      </w:pPr>
      <w:r>
        <w:rPr>
          <w:sz w:val="20"/>
        </w:rPr>
      </w:r>
    </w:p>
    <w:p>
      <w:pPr>
        <w:pStyle w:val="0"/>
        <w:ind w:firstLine="540"/>
        <w:jc w:val="both"/>
      </w:pPr>
      <w:r>
        <w:rPr>
          <w:sz w:val="20"/>
        </w:rPr>
        <w:t xml:space="preserve">1.1. Настоящий Порядок определения объема и предоставления субсидий из областного бюджета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добровольчества (волонтерства) "Регион добрых дел" автономной некоммерческой организации "Ресурсный центр организации добровольческой деятельности "Волонтеры добра" и Воронежской региональной культурно-просветительской общественной организации "Наша история" в 2025 году (далее соответственно - Порядок, субсидия) устанавливает цели, условия и порядок определения объема и предоставления субсидии, требования к предоставлению отчетности, требования к проведению мониторинга достижения результатов предоставления субсидии, требования об осуществлении контроля за соблюдением условий и порядка предоставления субсидии и ответственности за их нарушение.</w:t>
      </w:r>
    </w:p>
    <w:p>
      <w:pPr>
        <w:pStyle w:val="0"/>
        <w:spacing w:before="200" w:line-rule="auto"/>
        <w:ind w:firstLine="540"/>
        <w:jc w:val="both"/>
      </w:pPr>
      <w:r>
        <w:rPr>
          <w:sz w:val="20"/>
        </w:rPr>
        <w:t xml:space="preserve">1.2. Получатели субсидий - автономная некоммерческая организация "Ресурсный центр организации добровольческой деятельности "Волонтеры добра" и Воронежская региональная культурно-просветительская общественная организация "Наша история" (далее - Организации, Получатель субсидии).</w:t>
      </w:r>
    </w:p>
    <w:p>
      <w:pPr>
        <w:pStyle w:val="0"/>
        <w:spacing w:before="200" w:line-rule="auto"/>
        <w:ind w:firstLine="540"/>
        <w:jc w:val="both"/>
      </w:pPr>
      <w:r>
        <w:rPr>
          <w:sz w:val="20"/>
        </w:rPr>
        <w:t xml:space="preserve">1.3. Исполнительным органом Воронежской области,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является управление молодежной политики Воронежской области (далее - Управление).</w:t>
      </w:r>
    </w:p>
    <w:p>
      <w:pPr>
        <w:pStyle w:val="0"/>
        <w:spacing w:before="200" w:line-rule="auto"/>
        <w:ind w:firstLine="540"/>
        <w:jc w:val="both"/>
      </w:pPr>
      <w:r>
        <w:rPr>
          <w:sz w:val="20"/>
        </w:rPr>
        <w:t xml:space="preserve">1.4. Целью предоставления Организациям субсидий является 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в рамках регионального проекта "Мы вместе (Воспитание гармонично развитой личности)" государственной </w:t>
      </w:r>
      <w:hyperlink w:history="0" r:id="rId10" w:tooltip="Постановление Правительства Воронежской обл. от 17.12.2013 N 1102 (ред. от 21.02.2025) &quot;Об утверждении государственной программы Воронежской области &quot;Развитие образования&quot; {КонсультантПлюс}">
        <w:r>
          <w:rPr>
            <w:sz w:val="20"/>
            <w:color w:val="0000ff"/>
          </w:rPr>
          <w:t xml:space="preserve">программы</w:t>
        </w:r>
      </w:hyperlink>
      <w:r>
        <w:rPr>
          <w:sz w:val="20"/>
        </w:rPr>
        <w:t xml:space="preserve"> Воронежской области "Развитие образования", утвержденной постановлением Правительства Воронежской области от 17.12.2013 N 1102.</w:t>
      </w:r>
    </w:p>
    <w:p>
      <w:pPr>
        <w:pStyle w:val="0"/>
        <w:spacing w:before="200" w:line-rule="auto"/>
        <w:ind w:firstLine="540"/>
        <w:jc w:val="both"/>
      </w:pPr>
      <w:r>
        <w:rPr>
          <w:sz w:val="20"/>
        </w:rPr>
        <w:t xml:space="preserve">1.5. Способом предоставления субсидии является финансовое обеспечение затрат.</w:t>
      </w:r>
    </w:p>
    <w:p>
      <w:pPr>
        <w:pStyle w:val="0"/>
        <w:spacing w:before="200" w:line-rule="auto"/>
        <w:ind w:firstLine="540"/>
        <w:jc w:val="both"/>
      </w:pPr>
      <w:r>
        <w:rPr>
          <w:sz w:val="20"/>
        </w:rPr>
        <w:t xml:space="preserve">1.6. Информация о субсидии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2. Условия и порядок предоставления субсидии</w:t>
      </w:r>
    </w:p>
    <w:p>
      <w:pPr>
        <w:pStyle w:val="0"/>
        <w:jc w:val="both"/>
      </w:pPr>
      <w:r>
        <w:rPr>
          <w:sz w:val="20"/>
        </w:rPr>
      </w:r>
    </w:p>
    <w:bookmarkStart w:id="57" w:name="P57"/>
    <w:bookmarkEnd w:id="57"/>
    <w:p>
      <w:pPr>
        <w:pStyle w:val="0"/>
        <w:ind w:firstLine="540"/>
        <w:jc w:val="both"/>
      </w:pPr>
      <w:r>
        <w:rPr>
          <w:sz w:val="20"/>
        </w:rPr>
        <w:t xml:space="preserve">2.1. На дату подачи заявления Организация должна соответствовать следующим требованиям:</w:t>
      </w:r>
    </w:p>
    <w:bookmarkStart w:id="58" w:name="P58"/>
    <w:bookmarkEnd w:id="58"/>
    <w:p>
      <w:pPr>
        <w:pStyle w:val="0"/>
        <w:spacing w:before="200" w:line-rule="auto"/>
        <w:ind w:firstLine="540"/>
        <w:jc w:val="both"/>
      </w:pPr>
      <w:r>
        <w:rPr>
          <w:sz w:val="20"/>
        </w:rPr>
        <w:t xml:space="preserve">а) Организация не является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59" w:name="P59"/>
    <w:bookmarkEnd w:id="59"/>
    <w:p>
      <w:pPr>
        <w:pStyle w:val="0"/>
        <w:spacing w:before="200" w:line-rule="auto"/>
        <w:ind w:firstLine="540"/>
        <w:jc w:val="both"/>
      </w:pPr>
      <w:r>
        <w:rPr>
          <w:sz w:val="20"/>
        </w:rPr>
        <w:t xml:space="preserve">б)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60" w:name="P60"/>
    <w:bookmarkEnd w:id="60"/>
    <w:p>
      <w:pPr>
        <w:pStyle w:val="0"/>
        <w:spacing w:before="200" w:line-rule="auto"/>
        <w:ind w:firstLine="540"/>
        <w:jc w:val="both"/>
      </w:pPr>
      <w:r>
        <w:rPr>
          <w:sz w:val="20"/>
        </w:rPr>
        <w:t xml:space="preserve">в) Организация не находится в составляемых в рамках реализации полномочий, предусмотренных </w:t>
      </w:r>
      <w:hyperlink w:history="0" r:id="rId11"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61" w:name="P61"/>
    <w:bookmarkEnd w:id="61"/>
    <w:p>
      <w:pPr>
        <w:pStyle w:val="0"/>
        <w:spacing w:before="200" w:line-rule="auto"/>
        <w:ind w:firstLine="540"/>
        <w:jc w:val="both"/>
      </w:pPr>
      <w:r>
        <w:rPr>
          <w:sz w:val="20"/>
        </w:rPr>
        <w:t xml:space="preserve">г) Организация не получает средства областного бюджета на основании иных нормативных правовых актов субъекта Российской Федерации, муниципальных правовых актов на цели, установленные настоящим Порядком;</w:t>
      </w:r>
    </w:p>
    <w:bookmarkStart w:id="62" w:name="P62"/>
    <w:bookmarkEnd w:id="62"/>
    <w:p>
      <w:pPr>
        <w:pStyle w:val="0"/>
        <w:spacing w:before="200" w:line-rule="auto"/>
        <w:ind w:firstLine="540"/>
        <w:jc w:val="both"/>
      </w:pPr>
      <w:r>
        <w:rPr>
          <w:sz w:val="20"/>
        </w:rPr>
        <w:t xml:space="preserve">д) Организация не является иностранным агентом в соответствии с Федеральным </w:t>
      </w:r>
      <w:hyperlink w:history="0" r:id="rId12" w:tooltip="Федеральный закон от 14.07.2022 N 255-ФЗ (ред. от 28.12.2024) &quot;О контроле за деятельностью лиц, находящихся под иностранным влиянием&quot; ------------ Недействующая редакция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63" w:name="P63"/>
    <w:bookmarkEnd w:id="63"/>
    <w:p>
      <w:pPr>
        <w:pStyle w:val="0"/>
        <w:spacing w:before="200" w:line-rule="auto"/>
        <w:ind w:firstLine="540"/>
        <w:jc w:val="both"/>
      </w:pPr>
      <w:r>
        <w:rPr>
          <w:sz w:val="20"/>
        </w:rPr>
        <w:t xml:space="preserve">е) у Организации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Воронежской областью (за исключением случаев, установленных Правительством Воронежской области);</w:t>
      </w:r>
    </w:p>
    <w:bookmarkStart w:id="64" w:name="P64"/>
    <w:bookmarkEnd w:id="64"/>
    <w:p>
      <w:pPr>
        <w:pStyle w:val="0"/>
        <w:spacing w:before="200" w:line-rule="auto"/>
        <w:ind w:firstLine="540"/>
        <w:jc w:val="both"/>
      </w:pPr>
      <w:r>
        <w:rPr>
          <w:sz w:val="20"/>
        </w:rPr>
        <w:t xml:space="preserve">ж) Организация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bookmarkStart w:id="65" w:name="P65"/>
    <w:bookmarkEnd w:id="65"/>
    <w:p>
      <w:pPr>
        <w:pStyle w:val="0"/>
        <w:spacing w:before="200" w:line-rule="auto"/>
        <w:ind w:firstLine="540"/>
        <w:jc w:val="both"/>
      </w:pPr>
      <w:r>
        <w:rPr>
          <w:sz w:val="20"/>
        </w:rPr>
        <w:t xml:space="preserve">з)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являющейся юридическим лицом;</w:t>
      </w:r>
    </w:p>
    <w:bookmarkStart w:id="66" w:name="P66"/>
    <w:bookmarkEnd w:id="66"/>
    <w:p>
      <w:pPr>
        <w:pStyle w:val="0"/>
        <w:spacing w:before="200" w:line-rule="auto"/>
        <w:ind w:firstLine="540"/>
        <w:jc w:val="both"/>
      </w:pPr>
      <w:r>
        <w:rPr>
          <w:sz w:val="20"/>
        </w:rPr>
        <w:t xml:space="preserve">и) у Организации на едином налоговом счете отсутствует или не превышает размер, определенный </w:t>
      </w:r>
      <w:hyperlink w:history="0" r:id="rId13"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2.2. Субсидия предоставляется Организации при одновременном соблюдении следующих условий:</w:t>
      </w:r>
    </w:p>
    <w:p>
      <w:pPr>
        <w:pStyle w:val="0"/>
        <w:spacing w:before="200" w:line-rule="auto"/>
        <w:ind w:firstLine="540"/>
        <w:jc w:val="both"/>
      </w:pPr>
      <w:r>
        <w:rPr>
          <w:sz w:val="20"/>
        </w:rPr>
        <w:t xml:space="preserve">а) Организация соответствует требованиям, предусмотренным </w:t>
      </w:r>
      <w:hyperlink w:history="0" w:anchor="P57" w:tooltip="2.1. На дату подачи заявления Организация должна соответствовать следующим требованиям:">
        <w:r>
          <w:rPr>
            <w:sz w:val="20"/>
            <w:color w:val="0000ff"/>
          </w:rPr>
          <w:t xml:space="preserve">пунктом 2.1</w:t>
        </w:r>
      </w:hyperlink>
      <w:r>
        <w:rPr>
          <w:sz w:val="20"/>
        </w:rPr>
        <w:t xml:space="preserve"> настоящего Порядка;</w:t>
      </w:r>
    </w:p>
    <w:bookmarkStart w:id="69" w:name="P69"/>
    <w:bookmarkEnd w:id="69"/>
    <w:p>
      <w:pPr>
        <w:pStyle w:val="0"/>
        <w:spacing w:before="200" w:line-rule="auto"/>
        <w:ind w:firstLine="540"/>
        <w:jc w:val="both"/>
      </w:pPr>
      <w:r>
        <w:rPr>
          <w:sz w:val="20"/>
        </w:rPr>
        <w:t xml:space="preserve">б) запрет приобретения Организацией, а также иными юридическими лицами, получающими средства на основании договоров (соглашений), заключенных с Организацией,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действующим законодательством;</w:t>
      </w:r>
    </w:p>
    <w:bookmarkStart w:id="70" w:name="P70"/>
    <w:bookmarkEnd w:id="70"/>
    <w:p>
      <w:pPr>
        <w:pStyle w:val="0"/>
        <w:spacing w:before="200" w:line-rule="auto"/>
        <w:ind w:firstLine="540"/>
        <w:jc w:val="both"/>
      </w:pPr>
      <w:r>
        <w:rPr>
          <w:sz w:val="20"/>
        </w:rPr>
        <w:t xml:space="preserve">в) согласие Организации, лиц, получающих средства на основании договоров (соглашений), заключенных с Организацией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14"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статьями 268.1</w:t>
        </w:r>
      </w:hyperlink>
      <w:r>
        <w:rPr>
          <w:sz w:val="20"/>
        </w:rPr>
        <w:t xml:space="preserve"> и </w:t>
      </w:r>
      <w:hyperlink w:history="0" r:id="rId15"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о предоставлении субсидии, заключаемое в соответствии с типовой формой, утвержденной Министерством финансов Российской Федерации в установленном порядке.</w:t>
      </w:r>
    </w:p>
    <w:bookmarkStart w:id="71" w:name="P71"/>
    <w:bookmarkEnd w:id="71"/>
    <w:p>
      <w:pPr>
        <w:pStyle w:val="0"/>
        <w:spacing w:before="200" w:line-rule="auto"/>
        <w:ind w:firstLine="540"/>
        <w:jc w:val="both"/>
      </w:pPr>
      <w:r>
        <w:rPr>
          <w:sz w:val="20"/>
        </w:rPr>
        <w:t xml:space="preserve">2.3. Для получения субсидии Организации представляют в Управление в срок не позднее 10 марта года предоставления субсидии </w:t>
      </w:r>
      <w:hyperlink w:history="0" w:anchor="P164" w:tooltip="Заявление о предоставлении субсидии">
        <w:r>
          <w:rPr>
            <w:sz w:val="20"/>
            <w:color w:val="0000ff"/>
          </w:rPr>
          <w:t xml:space="preserve">заявление</w:t>
        </w:r>
      </w:hyperlink>
      <w:r>
        <w:rPr>
          <w:sz w:val="20"/>
        </w:rPr>
        <w:t xml:space="preserve"> о предоставлении субсидии (далее - заявление) по форме согласно приложению к настоящему Порядку. К заявлению прилагаются:</w:t>
      </w:r>
    </w:p>
    <w:p>
      <w:pPr>
        <w:pStyle w:val="0"/>
        <w:spacing w:before="200" w:line-rule="auto"/>
        <w:ind w:firstLine="540"/>
        <w:jc w:val="both"/>
      </w:pPr>
      <w:r>
        <w:rPr>
          <w:sz w:val="20"/>
        </w:rPr>
        <w:t xml:space="preserve">1) смета расходования средств Организациями по направлениям расходов и услуг, указанных в </w:t>
      </w:r>
      <w:hyperlink w:history="0" w:anchor="P104" w:tooltip="2.8. Расходы, источником финансового обеспечения которых является субсидия, направляются:">
        <w:r>
          <w:rPr>
            <w:sz w:val="20"/>
            <w:color w:val="0000ff"/>
          </w:rPr>
          <w:t xml:space="preserve">пункте 2.8</w:t>
        </w:r>
      </w:hyperlink>
      <w:r>
        <w:rPr>
          <w:sz w:val="20"/>
        </w:rPr>
        <w:t xml:space="preserve"> настоящего Порядка, составленная в произвольной форме и утвержденная руководителем Организации;</w:t>
      </w:r>
    </w:p>
    <w:p>
      <w:pPr>
        <w:pStyle w:val="0"/>
        <w:spacing w:before="200" w:line-rule="auto"/>
        <w:ind w:firstLine="540"/>
        <w:jc w:val="both"/>
      </w:pPr>
      <w:r>
        <w:rPr>
          <w:sz w:val="20"/>
        </w:rPr>
        <w:t xml:space="preserve">2) план мероприятий по реализации практики поддержки добровольчества (волонтерства);</w:t>
      </w:r>
    </w:p>
    <w:p>
      <w:pPr>
        <w:pStyle w:val="0"/>
        <w:spacing w:before="200" w:line-rule="auto"/>
        <w:ind w:firstLine="540"/>
        <w:jc w:val="both"/>
      </w:pPr>
      <w:r>
        <w:rPr>
          <w:sz w:val="20"/>
        </w:rPr>
        <w:t xml:space="preserve">3) заверенная копия листа записи Единого государственного реестра юридических лиц;</w:t>
      </w:r>
    </w:p>
    <w:p>
      <w:pPr>
        <w:pStyle w:val="0"/>
        <w:spacing w:before="200" w:line-rule="auto"/>
        <w:ind w:firstLine="540"/>
        <w:jc w:val="both"/>
      </w:pPr>
      <w:r>
        <w:rPr>
          <w:sz w:val="20"/>
        </w:rPr>
        <w:t xml:space="preserve">4) заверенная копия свидетельства о постановке на налоговый учет;</w:t>
      </w:r>
    </w:p>
    <w:p>
      <w:pPr>
        <w:pStyle w:val="0"/>
        <w:spacing w:before="200" w:line-rule="auto"/>
        <w:ind w:firstLine="540"/>
        <w:jc w:val="both"/>
      </w:pPr>
      <w:r>
        <w:rPr>
          <w:sz w:val="20"/>
        </w:rPr>
        <w:t xml:space="preserve">5) заверенная копия устава юридического лица;</w:t>
      </w:r>
    </w:p>
    <w:p>
      <w:pPr>
        <w:pStyle w:val="0"/>
        <w:spacing w:before="200" w:line-rule="auto"/>
        <w:ind w:firstLine="540"/>
        <w:jc w:val="both"/>
      </w:pPr>
      <w:r>
        <w:rPr>
          <w:sz w:val="20"/>
        </w:rPr>
        <w:t xml:space="preserve">6) справка, подписанная руководителем Организации, подтверждающая, что на дату подачи документов Организация не является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7) справка, подписанная руководителем Организации, подтверждающая, что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8) справка, подписанная руководителем Организации, подтверждающая, что Организация не находится в составляемых в рамках реализации полномочий, предусмотренных </w:t>
      </w:r>
      <w:hyperlink w:history="0" r:id="rId16"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9) справка, подписанная руководителем Организации, подтверждающая, что Организация не получает средства областного бюджета на основании иных нормативных правовых актов субъекта Российской Федерации, муниципальных правовых актов на цели, установленные настоящим Порядком;</w:t>
      </w:r>
    </w:p>
    <w:p>
      <w:pPr>
        <w:pStyle w:val="0"/>
        <w:spacing w:before="200" w:line-rule="auto"/>
        <w:ind w:firstLine="540"/>
        <w:jc w:val="both"/>
      </w:pPr>
      <w:r>
        <w:rPr>
          <w:sz w:val="20"/>
        </w:rPr>
        <w:t xml:space="preserve">10) справка, подписанная руководителем Организации, подтверждающая, что Организация не является иностранным агентом в соответствии с Федеральным </w:t>
      </w:r>
      <w:hyperlink w:history="0" r:id="rId17" w:tooltip="Федеральный закон от 14.07.2022 N 255-ФЗ (ред. от 28.12.2024) &quot;О контроле за деятельностью лиц, находящихся под иностранным влиянием&quot; ------------ Недействующая редакция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11) справка, подписанная руководителем Организации, подтверждающая, что у Организации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Воронежской областью (за исключением случаев, установленных Правительством Воронежской области);</w:t>
      </w:r>
    </w:p>
    <w:p>
      <w:pPr>
        <w:pStyle w:val="0"/>
        <w:spacing w:before="200" w:line-rule="auto"/>
        <w:ind w:firstLine="540"/>
        <w:jc w:val="both"/>
      </w:pPr>
      <w:r>
        <w:rPr>
          <w:sz w:val="20"/>
        </w:rPr>
        <w:t xml:space="preserve">12) справка, подписанная руководителем Организации, подтверждающая, что Организация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13) справка, подписанная руководителем Организации, подтверждающая, что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являющейся юридическим лицом;</w:t>
      </w:r>
    </w:p>
    <w:p>
      <w:pPr>
        <w:pStyle w:val="0"/>
        <w:spacing w:before="200" w:line-rule="auto"/>
        <w:ind w:firstLine="540"/>
        <w:jc w:val="both"/>
      </w:pPr>
      <w:r>
        <w:rPr>
          <w:sz w:val="20"/>
        </w:rPr>
        <w:t xml:space="preserve">14) справка, подписанная руководителем Организации, подтверждающая, что у Организации на едином налоговом счете отсутствует или не превышает размер, определенный </w:t>
      </w:r>
      <w:hyperlink w:history="0" r:id="rId18"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Документы, указанные в настоящем пункте, представляются в Управление на бумажном носителе.</w:t>
      </w:r>
    </w:p>
    <w:p>
      <w:pPr>
        <w:pStyle w:val="0"/>
        <w:spacing w:before="200" w:line-rule="auto"/>
        <w:ind w:firstLine="540"/>
        <w:jc w:val="both"/>
      </w:pPr>
      <w:r>
        <w:rPr>
          <w:sz w:val="20"/>
        </w:rPr>
        <w:t xml:space="preserve">Организации вправе предоставить </w:t>
      </w:r>
      <w:hyperlink w:history="0" r:id="rId19" w:tooltip="Приказ ФНС России от 23.11.2022 N ЕД-7-8/1123@ &quot;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quot; (Зарегистрировано в Минюсте России 30.12.2022 N 71932) {КонсультантПлюс}">
        <w:r>
          <w:rPr>
            <w:sz w:val="20"/>
            <w:color w:val="0000ff"/>
          </w:rPr>
          <w:t xml:space="preserve">справку</w:t>
        </w:r>
      </w:hyperlink>
      <w:r>
        <w:rPr>
          <w:sz w:val="20"/>
        </w:rPr>
        <w:t xml:space="preserve"> об исполнении обязанности по уплате налогов, сборов, страховых взносов, пеней, штрафов, процентов по форме, утвержденной Приказом ФНС России от 23.11.2022 N ЕД-7-8/1123@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(далее - справка).</w:t>
      </w:r>
    </w:p>
    <w:p>
      <w:pPr>
        <w:pStyle w:val="0"/>
        <w:spacing w:before="200" w:line-rule="auto"/>
        <w:ind w:firstLine="540"/>
        <w:jc w:val="both"/>
      </w:pPr>
      <w:r>
        <w:rPr>
          <w:sz w:val="20"/>
        </w:rPr>
        <w:t xml:space="preserve">В случае непредставления справки Управление запрашивает ее самостоятельно посредством единой системы межведомственного электронного взаимодействия.</w:t>
      </w:r>
    </w:p>
    <w:p>
      <w:pPr>
        <w:pStyle w:val="0"/>
        <w:spacing w:before="200" w:line-rule="auto"/>
        <w:ind w:firstLine="540"/>
        <w:jc w:val="both"/>
      </w:pPr>
      <w:r>
        <w:rPr>
          <w:sz w:val="20"/>
        </w:rPr>
        <w:t xml:space="preserve">На основании представленных Организациями документов, поступившей информации Управление в срок, не превышающий двух рабочих дней, осуществляет проверку полноты и достоверности содержащихся в документах сведений, а также проверку Организаций на соответствие:</w:t>
      </w:r>
    </w:p>
    <w:p>
      <w:pPr>
        <w:pStyle w:val="0"/>
        <w:spacing w:before="200" w:line-rule="auto"/>
        <w:ind w:firstLine="540"/>
        <w:jc w:val="both"/>
      </w:pPr>
      <w:r>
        <w:rPr>
          <w:sz w:val="20"/>
        </w:rPr>
        <w:t xml:space="preserve">- требованиям, установленным </w:t>
      </w:r>
      <w:hyperlink w:history="0" w:anchor="P58" w:tooltip="а) Организация не являет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
        <w:r>
          <w:rPr>
            <w:sz w:val="20"/>
            <w:color w:val="0000ff"/>
          </w:rPr>
          <w:t xml:space="preserve">подпунктами "а"</w:t>
        </w:r>
      </w:hyperlink>
      <w:r>
        <w:rPr>
          <w:sz w:val="20"/>
        </w:rPr>
        <w:t xml:space="preserve"> и </w:t>
      </w:r>
      <w:hyperlink w:history="0" w:anchor="P64" w:tooltip="ж) Организация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е не введена процедура банкротства, деятельность Организации не приостановлена в порядке, предусмотренном законодательством Российской Федерации;">
        <w:r>
          <w:rPr>
            <w:sz w:val="20"/>
            <w:color w:val="0000ff"/>
          </w:rPr>
          <w:t xml:space="preserve">"ж" пункта 2.1</w:t>
        </w:r>
      </w:hyperlink>
      <w:r>
        <w:rPr>
          <w:sz w:val="20"/>
        </w:rPr>
        <w:t xml:space="preserve"> настоящего Порядка, на основании сведений из Единого государственного реестра юридических лиц на официальном сайте Федеральной налоговой службы путем использования сервиса "Предоставление сведений из ЕГРЮЛ/ЕГРИП в электронном виде";</w:t>
      </w:r>
    </w:p>
    <w:p>
      <w:pPr>
        <w:pStyle w:val="0"/>
        <w:spacing w:before="200" w:line-rule="auto"/>
        <w:ind w:firstLine="540"/>
        <w:jc w:val="both"/>
      </w:pPr>
      <w:r>
        <w:rPr>
          <w:sz w:val="20"/>
        </w:rPr>
        <w:t xml:space="preserve">- требованиям, установленным </w:t>
      </w:r>
      <w:hyperlink w:history="0" w:anchor="P59" w:tooltip="б)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подпунктом "б" пункта 2.1</w:t>
        </w:r>
      </w:hyperlink>
      <w:r>
        <w:rPr>
          <w:sz w:val="20"/>
        </w:rPr>
        <w:t xml:space="preserve"> настоящего Порядка, на основании сведений, размещенных на странице "Перечень организаций и физических лиц, в отношении которых имеются сведения о причастности к экстремистской деятельности или терроризму" официального сайта Росфинмониторинга;</w:t>
      </w:r>
    </w:p>
    <w:p>
      <w:pPr>
        <w:pStyle w:val="0"/>
        <w:spacing w:before="200" w:line-rule="auto"/>
        <w:ind w:firstLine="540"/>
        <w:jc w:val="both"/>
      </w:pPr>
      <w:r>
        <w:rPr>
          <w:sz w:val="20"/>
        </w:rPr>
        <w:t xml:space="preserve">- требованиям, установленным </w:t>
      </w:r>
      <w:hyperlink w:history="0" w:anchor="P60" w:tooltip="в) Организация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подпунктом "в" пункта 2.1</w:t>
        </w:r>
      </w:hyperlink>
      <w:r>
        <w:rPr>
          <w:sz w:val="20"/>
        </w:rPr>
        <w:t xml:space="preserve"> настоящего Порядка, на основании сведений, размещенных на странице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официального сайта Росфинмониторинга;</w:t>
      </w:r>
    </w:p>
    <w:p>
      <w:pPr>
        <w:pStyle w:val="0"/>
        <w:spacing w:before="200" w:line-rule="auto"/>
        <w:ind w:firstLine="540"/>
        <w:jc w:val="both"/>
      </w:pPr>
      <w:r>
        <w:rPr>
          <w:sz w:val="20"/>
        </w:rPr>
        <w:t xml:space="preserve">- требованиям, установленным </w:t>
      </w:r>
      <w:hyperlink w:history="0" w:anchor="P61" w:tooltip="г) Организация не получает средства областного бюджета на основании иных нормативных правовых актов субъекта Российской Федерации, муниципальных правовых актов на цели, установленные настоящим Порядком;">
        <w:r>
          <w:rPr>
            <w:sz w:val="20"/>
            <w:color w:val="0000ff"/>
          </w:rPr>
          <w:t xml:space="preserve">подпунктами "г"</w:t>
        </w:r>
      </w:hyperlink>
      <w:r>
        <w:rPr>
          <w:sz w:val="20"/>
        </w:rPr>
        <w:t xml:space="preserve"> и </w:t>
      </w:r>
      <w:hyperlink w:history="0" w:anchor="P63" w:tooltip="е) у Организации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Воронежской областью (за исключением случаев, установленных Правительством Воронежской области);">
        <w:r>
          <w:rPr>
            <w:sz w:val="20"/>
            <w:color w:val="0000ff"/>
          </w:rPr>
          <w:t xml:space="preserve">"е" пункта 2.1</w:t>
        </w:r>
      </w:hyperlink>
      <w:r>
        <w:rPr>
          <w:sz w:val="20"/>
        </w:rPr>
        <w:t xml:space="preserve"> настоящего Порядка, на основании иных нормативных правовых актов Воронежской области и данных, полученных от главных распорядителей бюджетных средств, предоставляющих из областного бюджета субсидии получателю субсидии;</w:t>
      </w:r>
    </w:p>
    <w:p>
      <w:pPr>
        <w:pStyle w:val="0"/>
        <w:spacing w:before="200" w:line-rule="auto"/>
        <w:ind w:firstLine="540"/>
        <w:jc w:val="both"/>
      </w:pPr>
      <w:r>
        <w:rPr>
          <w:sz w:val="20"/>
        </w:rPr>
        <w:t xml:space="preserve">- требованиям, установленным </w:t>
      </w:r>
      <w:hyperlink w:history="0" w:anchor="P62" w:tooltip="д) Организация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подпунктом "д" пункта 2.1</w:t>
        </w:r>
      </w:hyperlink>
      <w:r>
        <w:rPr>
          <w:sz w:val="20"/>
        </w:rPr>
        <w:t xml:space="preserve"> настоящего Порядка, на основании сведений, размещенных на странице "Реестр иностранных агентов" официального сайта Министерства юстиции Российской Федерации;</w:t>
      </w:r>
    </w:p>
    <w:p>
      <w:pPr>
        <w:pStyle w:val="0"/>
        <w:spacing w:before="200" w:line-rule="auto"/>
        <w:ind w:firstLine="540"/>
        <w:jc w:val="both"/>
      </w:pPr>
      <w:r>
        <w:rPr>
          <w:sz w:val="20"/>
        </w:rPr>
        <w:t xml:space="preserve">- требованиям, установленным </w:t>
      </w:r>
      <w:hyperlink w:history="0" w:anchor="P65" w:tooltip="з)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являющейся юридическим лицом;">
        <w:r>
          <w:rPr>
            <w:sz w:val="20"/>
            <w:color w:val="0000ff"/>
          </w:rPr>
          <w:t xml:space="preserve">подпунктом "з" пункта 2.1</w:t>
        </w:r>
      </w:hyperlink>
      <w:r>
        <w:rPr>
          <w:sz w:val="20"/>
        </w:rPr>
        <w:t xml:space="preserve"> настоящего Порядка, на основании сведений, размещенных на странице "Поиск сведений в реестре дисквалифицированных лиц" официального сайта Федеральной налоговой службы;</w:t>
      </w:r>
    </w:p>
    <w:p>
      <w:pPr>
        <w:pStyle w:val="0"/>
        <w:spacing w:before="200" w:line-rule="auto"/>
        <w:ind w:firstLine="540"/>
        <w:jc w:val="both"/>
      </w:pPr>
      <w:r>
        <w:rPr>
          <w:sz w:val="20"/>
        </w:rPr>
        <w:t xml:space="preserve">- требованиям, установленным </w:t>
      </w:r>
      <w:hyperlink w:history="0" w:anchor="P66" w:tooltip="и) у Организации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подпунктом "и" пункта 2.1</w:t>
        </w:r>
      </w:hyperlink>
      <w:r>
        <w:rPr>
          <w:sz w:val="20"/>
        </w:rPr>
        <w:t xml:space="preserve"> настоящего Порядка, на основании данных Федеральной налоговой службы путем использования государственной информационной системы "Региональная система межведомственного электронного взаимодействия".</w:t>
      </w:r>
    </w:p>
    <w:p>
      <w:pPr>
        <w:pStyle w:val="0"/>
        <w:spacing w:before="200" w:line-rule="auto"/>
        <w:ind w:firstLine="540"/>
        <w:jc w:val="both"/>
      </w:pPr>
      <w:r>
        <w:rPr>
          <w:sz w:val="20"/>
        </w:rPr>
        <w:t xml:space="preserve">2.4. Управление в день подачи заявления и документов, указанных в </w:t>
      </w:r>
      <w:hyperlink w:history="0" w:anchor="P71" w:tooltip="2.3. Для получения субсидии Организации представляют в Управление в срок не позднее 10 марта года предоставления субсидии заявление о предоставлении субсидии (далее - заявление) по форме согласно приложению к настоящему Порядку. К заявлению прилагаются:">
        <w:r>
          <w:rPr>
            <w:sz w:val="20"/>
            <w:color w:val="0000ff"/>
          </w:rPr>
          <w:t xml:space="preserve">пункте 2.3</w:t>
        </w:r>
      </w:hyperlink>
      <w:r>
        <w:rPr>
          <w:sz w:val="20"/>
        </w:rPr>
        <w:t xml:space="preserve"> настоящего Порядка, регистрирует, рассматривает представленные документы, проводит их проверку в течение 7 рабочих дней с даты регистрации заявления и принимает решение о предоставлении субсидии либо об отказе в ее предоставлении. Решение о предоставлении субсидии оформляется приказом Управления.</w:t>
      </w:r>
    </w:p>
    <w:p>
      <w:pPr>
        <w:pStyle w:val="0"/>
        <w:spacing w:before="200" w:line-rule="auto"/>
        <w:ind w:firstLine="540"/>
        <w:jc w:val="both"/>
      </w:pPr>
      <w:r>
        <w:rPr>
          <w:sz w:val="20"/>
        </w:rPr>
        <w:t xml:space="preserve">2.5. Основаниями для отказа в предоставлении Организациям субсидий являются:</w:t>
      </w:r>
    </w:p>
    <w:p>
      <w:pPr>
        <w:pStyle w:val="0"/>
        <w:spacing w:before="200" w:line-rule="auto"/>
        <w:ind w:firstLine="540"/>
        <w:jc w:val="both"/>
      </w:pPr>
      <w:r>
        <w:rPr>
          <w:sz w:val="20"/>
        </w:rPr>
        <w:t xml:space="preserve">- несоответствие представленных Организациями документов требованиям, определенным </w:t>
      </w:r>
      <w:hyperlink w:history="0" w:anchor="P71" w:tooltip="2.3. Для получения субсидии Организации представляют в Управление в срок не позднее 10 марта года предоставления субсидии заявление о предоставлении субсидии (далее - заявление) по форме согласно приложению к настоящему Порядку. К заявлению прилагаются:">
        <w:r>
          <w:rPr>
            <w:sz w:val="20"/>
            <w:color w:val="0000ff"/>
          </w:rPr>
          <w:t xml:space="preserve">пунктом 2.3</w:t>
        </w:r>
      </w:hyperlink>
      <w:r>
        <w:rPr>
          <w:sz w:val="20"/>
        </w:rPr>
        <w:t xml:space="preserve"> настоящего Порядка,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 установление факта недостоверности информации, представленной Организациями;</w:t>
      </w:r>
    </w:p>
    <w:p>
      <w:pPr>
        <w:pStyle w:val="0"/>
        <w:spacing w:before="200" w:line-rule="auto"/>
        <w:ind w:firstLine="540"/>
        <w:jc w:val="both"/>
      </w:pPr>
      <w:r>
        <w:rPr>
          <w:sz w:val="20"/>
        </w:rPr>
        <w:t xml:space="preserve">- несоответствие Организаций требованиям, определенным </w:t>
      </w:r>
      <w:hyperlink w:history="0" w:anchor="P57" w:tooltip="2.1. На дату подачи заявления Организация должна соответствовать следующим требованиям:">
        <w:r>
          <w:rPr>
            <w:sz w:val="20"/>
            <w:color w:val="0000ff"/>
          </w:rPr>
          <w:t xml:space="preserve">пунктом 2.1</w:t>
        </w:r>
      </w:hyperlink>
      <w:r>
        <w:rPr>
          <w:sz w:val="20"/>
        </w:rPr>
        <w:t xml:space="preserve"> настоящего Порядка.</w:t>
      </w:r>
    </w:p>
    <w:p>
      <w:pPr>
        <w:pStyle w:val="0"/>
        <w:spacing w:before="200" w:line-rule="auto"/>
        <w:ind w:firstLine="540"/>
        <w:jc w:val="both"/>
      </w:pPr>
      <w:r>
        <w:rPr>
          <w:sz w:val="20"/>
        </w:rPr>
        <w:t xml:space="preserve">2.6. В случае отказа в предоставлении субсидии Управление направляет в Организации соответствующее письменное уведомление об отказе в предоставлении субсидии с указанием причины принятия соответствующего решения. Организации должны быть проинформированы о принятом решении в течение 5 рабочих дней со дня его принятия.</w:t>
      </w:r>
    </w:p>
    <w:p>
      <w:pPr>
        <w:pStyle w:val="0"/>
        <w:spacing w:before="200" w:line-rule="auto"/>
        <w:ind w:firstLine="540"/>
        <w:jc w:val="both"/>
      </w:pPr>
      <w:r>
        <w:rPr>
          <w:sz w:val="20"/>
        </w:rPr>
        <w:t xml:space="preserve">2.7. Субсидия предоставляется в пределах бюджетных ассигнований, полученных на текущий финансовый год из средств, поступивших в бюджет Воронежской области из федерального бюджета, предусмотренных соглашением с Федеральным агентством по делам молодежи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 и средств областного бюджета, предусмотренных на эти цели законом Воронежской области об областном бюджете на соответствующий финансовый год и на плановый период.</w:t>
      </w:r>
    </w:p>
    <w:bookmarkStart w:id="104" w:name="P104"/>
    <w:bookmarkEnd w:id="104"/>
    <w:p>
      <w:pPr>
        <w:pStyle w:val="0"/>
        <w:spacing w:before="200" w:line-rule="auto"/>
        <w:ind w:firstLine="540"/>
        <w:jc w:val="both"/>
      </w:pPr>
      <w:r>
        <w:rPr>
          <w:sz w:val="20"/>
        </w:rPr>
        <w:t xml:space="preserve">2.8. Расходы, источником финансового обеспечения которых является субсидия, направляются:</w:t>
      </w:r>
    </w:p>
    <w:p>
      <w:pPr>
        <w:pStyle w:val="0"/>
        <w:spacing w:before="200" w:line-rule="auto"/>
        <w:ind w:firstLine="540"/>
        <w:jc w:val="both"/>
      </w:pPr>
      <w:r>
        <w:rPr>
          <w:sz w:val="20"/>
        </w:rPr>
        <w:t xml:space="preserve">- на оплату работ и услуг по выполнению косметического ремонта и брендированию помещений;</w:t>
      </w:r>
    </w:p>
    <w:p>
      <w:pPr>
        <w:pStyle w:val="0"/>
        <w:spacing w:before="200" w:line-rule="auto"/>
        <w:ind w:firstLine="540"/>
        <w:jc w:val="both"/>
      </w:pPr>
      <w:r>
        <w:rPr>
          <w:sz w:val="20"/>
        </w:rPr>
        <w:t xml:space="preserve">- на приобретение оборудования и других материально-технических средств;</w:t>
      </w:r>
    </w:p>
    <w:p>
      <w:pPr>
        <w:pStyle w:val="0"/>
        <w:spacing w:before="200" w:line-rule="auto"/>
        <w:ind w:firstLine="540"/>
        <w:jc w:val="both"/>
      </w:pPr>
      <w:r>
        <w:rPr>
          <w:sz w:val="20"/>
        </w:rPr>
        <w:t xml:space="preserve">- на приобретение расходных материалов.</w:t>
      </w:r>
    </w:p>
    <w:p>
      <w:pPr>
        <w:pStyle w:val="0"/>
        <w:spacing w:before="200" w:line-rule="auto"/>
        <w:ind w:firstLine="540"/>
        <w:jc w:val="both"/>
      </w:pPr>
      <w:r>
        <w:rPr>
          <w:sz w:val="20"/>
        </w:rPr>
        <w:t xml:space="preserve">2.9. В случае принятия решения о предоставлении субсидии в течение 7 рабочих дней с даты принятия решения о предоставлении субсидии Управление заключает с Организациями соглашения в соответствии с типовой формой соглашения,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соглашение).</w:t>
      </w:r>
    </w:p>
    <w:p>
      <w:pPr>
        <w:pStyle w:val="0"/>
        <w:spacing w:before="200" w:line-rule="auto"/>
        <w:ind w:firstLine="540"/>
        <w:jc w:val="both"/>
      </w:pPr>
      <w:r>
        <w:rPr>
          <w:sz w:val="20"/>
        </w:rPr>
        <w:t xml:space="preserve">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Управлению ранее доведенных лимитов бюджетных обязательств, приводящего к невозможности предоставления субсидии в размере, определенном в соглашении, а также условия, указанные в </w:t>
      </w:r>
      <w:hyperlink w:history="0" w:anchor="P69" w:tooltip="б) запрет приобретения Организацией, а также иными юридическими лицами, получающими средства на основании договоров (соглашений), заключенных с Организацией,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
        <w:r>
          <w:rPr>
            <w:sz w:val="20"/>
            <w:color w:val="0000ff"/>
          </w:rPr>
          <w:t xml:space="preserve">подпунктах "б"</w:t>
        </w:r>
      </w:hyperlink>
      <w:r>
        <w:rPr>
          <w:sz w:val="20"/>
        </w:rPr>
        <w:t xml:space="preserve"> и </w:t>
      </w:r>
      <w:hyperlink w:history="0" w:anchor="P70" w:tooltip="в) согласие Организации, лиц, получающих средства на основании договоров (соглашений), заключенных с Организаци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бюджетных средств соблюдения порядка и усл...">
        <w:r>
          <w:rPr>
            <w:sz w:val="20"/>
            <w:color w:val="0000ff"/>
          </w:rPr>
          <w:t xml:space="preserve">"в" пункта 2.2</w:t>
        </w:r>
      </w:hyperlink>
      <w:r>
        <w:rPr>
          <w:sz w:val="20"/>
        </w:rPr>
        <w:t xml:space="preserve"> настоящего Порядка.</w:t>
      </w:r>
    </w:p>
    <w:p>
      <w:pPr>
        <w:pStyle w:val="0"/>
        <w:spacing w:before="200" w:line-rule="auto"/>
        <w:ind w:firstLine="540"/>
        <w:jc w:val="both"/>
      </w:pPr>
      <w:r>
        <w:rPr>
          <w:sz w:val="20"/>
        </w:rPr>
        <w:t xml:space="preserve">2.10. При реорганизации Организаций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Организаций.</w:t>
      </w:r>
    </w:p>
    <w:p>
      <w:pPr>
        <w:pStyle w:val="0"/>
        <w:spacing w:before="200" w:line-rule="auto"/>
        <w:ind w:firstLine="540"/>
        <w:jc w:val="both"/>
      </w:pPr>
      <w:r>
        <w:rPr>
          <w:sz w:val="20"/>
        </w:rPr>
        <w:t xml:space="preserve">2.11. При реорганизации Организаций в форме разделения, выделения, а также при ликвидации Организаций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Организациями обязательствах, источником финансового обеспечения которых является субсидия, и возврате неиспользованного остатка субсидии в бюджет Воронежской области.</w:t>
      </w:r>
    </w:p>
    <w:p>
      <w:pPr>
        <w:pStyle w:val="0"/>
        <w:spacing w:before="200" w:line-rule="auto"/>
        <w:ind w:firstLine="540"/>
        <w:jc w:val="both"/>
      </w:pPr>
      <w:r>
        <w:rPr>
          <w:sz w:val="20"/>
        </w:rPr>
        <w:t xml:space="preserve">2.12. Перечисление субсидии осуществляется единовременно в срок до 20 марта года предоставления субсидии на отдельные расчетные или корреспондентские счета, открытые Организациями в учреждениях Центрального банка Российской Федерации или кредитных организациях.</w:t>
      </w:r>
    </w:p>
    <w:p>
      <w:pPr>
        <w:pStyle w:val="0"/>
        <w:spacing w:before="200" w:line-rule="auto"/>
        <w:ind w:firstLine="540"/>
        <w:jc w:val="both"/>
      </w:pPr>
      <w:r>
        <w:rPr>
          <w:sz w:val="20"/>
        </w:rPr>
        <w:t xml:space="preserve">2.13. Результатом предоставления субсидии является достижение значения результата "Реализованы практики поддержки добровольчества (волонтерства) по итогам проведения ежегодного конкурса по предоставлению субсидии субъектам Российской Федерации на реализацию практик поддержки и развития добровольчества (волонтерства) "Регион добрых дел", единица.</w:t>
      </w:r>
    </w:p>
    <w:p>
      <w:pPr>
        <w:pStyle w:val="0"/>
        <w:spacing w:before="200" w:line-rule="auto"/>
        <w:ind w:firstLine="540"/>
        <w:jc w:val="both"/>
      </w:pPr>
      <w:r>
        <w:rPr>
          <w:sz w:val="20"/>
        </w:rPr>
        <w:t xml:space="preserve">Тип результата предоставления субсидии - проведение массовых мероприятий.</w:t>
      </w:r>
    </w:p>
    <w:p>
      <w:pPr>
        <w:pStyle w:val="0"/>
        <w:spacing w:before="200" w:line-rule="auto"/>
        <w:ind w:firstLine="540"/>
        <w:jc w:val="both"/>
      </w:pPr>
      <w:r>
        <w:rPr>
          <w:sz w:val="20"/>
        </w:rPr>
        <w:t xml:space="preserve">Получатель субсидии принимает обязательство о достижении в году получения субсидии результата предоставления субсидии в соответствии с соглашением.</w:t>
      </w:r>
    </w:p>
    <w:p>
      <w:pPr>
        <w:pStyle w:val="0"/>
        <w:spacing w:before="200" w:line-rule="auto"/>
        <w:ind w:firstLine="540"/>
        <w:jc w:val="both"/>
      </w:pPr>
      <w:r>
        <w:rPr>
          <w:sz w:val="20"/>
        </w:rPr>
        <w:t xml:space="preserve">2.14. Значение результата предоставления субсидии устанавливается Управлением в соглашении.</w:t>
      </w:r>
    </w:p>
    <w:p>
      <w:pPr>
        <w:pStyle w:val="0"/>
        <w:spacing w:before="200" w:line-rule="auto"/>
        <w:ind w:firstLine="540"/>
        <w:jc w:val="both"/>
      </w:pPr>
      <w:r>
        <w:rPr>
          <w:sz w:val="20"/>
        </w:rPr>
        <w:t xml:space="preserve">2.15. Субсидия предоставляется Получателю субсидии в пределах бюджетных ассигнований и лимитов бюджетных обязательств, предусмотренных законом Воронежской области об областном бюджете на соответствующий финансовый год и плановый период.</w:t>
      </w:r>
    </w:p>
    <w:p>
      <w:pPr>
        <w:pStyle w:val="0"/>
        <w:spacing w:before="200" w:line-rule="auto"/>
        <w:ind w:firstLine="540"/>
        <w:jc w:val="both"/>
      </w:pPr>
      <w:r>
        <w:rPr>
          <w:sz w:val="20"/>
        </w:rPr>
        <w:t xml:space="preserve">Определение объема субсидии, предоставляемой Получателю субсидии, осуществляется в соответствии с законом Воронежской области об областном бюджете на соответствующий финансовый год и плановый период.</w:t>
      </w:r>
    </w:p>
    <w:p>
      <w:pPr>
        <w:pStyle w:val="0"/>
        <w:spacing w:before="200" w:line-rule="auto"/>
        <w:ind w:firstLine="540"/>
        <w:jc w:val="both"/>
      </w:pPr>
      <w:r>
        <w:rPr>
          <w:sz w:val="20"/>
        </w:rPr>
        <w:t xml:space="preserve">2.16. Перечисление субсидии в соответствии с направлениями расходов, указанными в </w:t>
      </w:r>
      <w:hyperlink w:history="0" w:anchor="P104" w:tooltip="2.8. Расходы, источником финансового обеспечения которых является субсидия, направляются:">
        <w:r>
          <w:rPr>
            <w:sz w:val="20"/>
            <w:color w:val="0000ff"/>
          </w:rPr>
          <w:t xml:space="preserve">пункте 2.8</w:t>
        </w:r>
      </w:hyperlink>
      <w:r>
        <w:rPr>
          <w:sz w:val="20"/>
        </w:rPr>
        <w:t xml:space="preserve"> настоящего Порядка, осуществляется единовременно на расчетные или корреспондентские счета, открытые Получателю субсидии в учреждениях Центрального банка Российской Федерации или кредитных организациях.</w:t>
      </w:r>
    </w:p>
    <w:p>
      <w:pPr>
        <w:pStyle w:val="0"/>
        <w:spacing w:before="200" w:line-rule="auto"/>
        <w:ind w:firstLine="540"/>
        <w:jc w:val="both"/>
      </w:pPr>
      <w:r>
        <w:rPr>
          <w:sz w:val="20"/>
        </w:rPr>
        <w:t xml:space="preserve">2.17. Субсидия подлежит возврату в доход областного бюджета в случаях и порядке, установленных в </w:t>
      </w:r>
      <w:hyperlink w:history="0" w:anchor="P135" w:tooltip="5. Требования об осуществлении контроля за соблюдением">
        <w:r>
          <w:rPr>
            <w:sz w:val="20"/>
            <w:color w:val="0000ff"/>
          </w:rPr>
          <w:t xml:space="preserve">разделе 5</w:t>
        </w:r>
      </w:hyperlink>
      <w:r>
        <w:rPr>
          <w:sz w:val="20"/>
        </w:rPr>
        <w:t xml:space="preserve"> настоящего Порядка.</w:t>
      </w:r>
    </w:p>
    <w:p>
      <w:pPr>
        <w:pStyle w:val="0"/>
        <w:jc w:val="both"/>
      </w:pPr>
      <w:r>
        <w:rPr>
          <w:sz w:val="20"/>
        </w:rPr>
      </w:r>
    </w:p>
    <w:p>
      <w:pPr>
        <w:pStyle w:val="2"/>
        <w:outlineLvl w:val="1"/>
        <w:jc w:val="center"/>
      </w:pPr>
      <w:r>
        <w:rPr>
          <w:sz w:val="20"/>
        </w:rPr>
        <w:t xml:space="preserve">3. Порядок представления отчетности</w:t>
      </w:r>
    </w:p>
    <w:p>
      <w:pPr>
        <w:pStyle w:val="0"/>
        <w:jc w:val="both"/>
      </w:pPr>
      <w:r>
        <w:rPr>
          <w:sz w:val="20"/>
        </w:rPr>
      </w:r>
    </w:p>
    <w:bookmarkStart w:id="124" w:name="P124"/>
    <w:bookmarkEnd w:id="124"/>
    <w:p>
      <w:pPr>
        <w:pStyle w:val="0"/>
        <w:ind w:firstLine="540"/>
        <w:jc w:val="both"/>
      </w:pPr>
      <w:r>
        <w:rPr>
          <w:sz w:val="20"/>
        </w:rPr>
        <w:t xml:space="preserve">3.1. Организации ежеквартально в течение 10 рабочих дней, следующих за последним днем отчетного квартала, направляют в Управление отчеты о достижении значений результатов предоставления субсидии и об осуществлении расходов, источником финансового обеспечения которых является субсидия, по формам, подготовленным (сформированным)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pPr>
        <w:pStyle w:val="0"/>
        <w:spacing w:before="200" w:line-rule="auto"/>
        <w:ind w:firstLine="540"/>
        <w:jc w:val="both"/>
      </w:pPr>
      <w:r>
        <w:rPr>
          <w:sz w:val="20"/>
        </w:rPr>
        <w:t xml:space="preserve">3.2. Управление в течение 20 рабочих дней со дня поступления отчетов, указанных в </w:t>
      </w:r>
      <w:hyperlink w:history="0" w:anchor="P124" w:tooltip="3.1. Организации ежеквартально в течение 10 рабочих дней, следующих за последним днем отчетного квартала, направляют в Управление отчеты о достижении значений результатов предоставления субсидии и об осуществлении расходов, источником финансового обеспечения которых является субсидия, по формам, подготовленным (сформированным) с использованием государственной интегрированной информационной системы управления общественными финансами &quot;Электронный бюджет&quot; в соответствии с типовой формой соглашения, утвержде...">
        <w:r>
          <w:rPr>
            <w:sz w:val="20"/>
            <w:color w:val="0000ff"/>
          </w:rPr>
          <w:t xml:space="preserve">пункте 3.1</w:t>
        </w:r>
      </w:hyperlink>
      <w:r>
        <w:rPr>
          <w:sz w:val="20"/>
        </w:rPr>
        <w:t xml:space="preserve"> настоящего Порядка, осуществляет их проверку на соответствие требованиям настоящего Порядка и соглашения, по результатам которой:</w:t>
      </w:r>
    </w:p>
    <w:p>
      <w:pPr>
        <w:pStyle w:val="0"/>
        <w:spacing w:before="200" w:line-rule="auto"/>
        <w:ind w:firstLine="540"/>
        <w:jc w:val="both"/>
      </w:pPr>
      <w:r>
        <w:rPr>
          <w:sz w:val="20"/>
        </w:rPr>
        <w:t xml:space="preserve">1) в случае соответствия отчетов требованиям Порядка и соглашения - принимает отчеты и направляет в Организации уведомления о принятии отчетов;</w:t>
      </w:r>
    </w:p>
    <w:p>
      <w:pPr>
        <w:pStyle w:val="0"/>
        <w:spacing w:before="200" w:line-rule="auto"/>
        <w:ind w:firstLine="540"/>
        <w:jc w:val="both"/>
      </w:pPr>
      <w:r>
        <w:rPr>
          <w:sz w:val="20"/>
        </w:rPr>
        <w:t xml:space="preserve">2) при наличии замечаний к отчетам - возвращает их в Организации в течение 3 рабочих дней на доработку.</w:t>
      </w:r>
    </w:p>
    <w:p>
      <w:pPr>
        <w:pStyle w:val="0"/>
        <w:spacing w:before="200" w:line-rule="auto"/>
        <w:ind w:firstLine="540"/>
        <w:jc w:val="both"/>
      </w:pPr>
      <w:r>
        <w:rPr>
          <w:sz w:val="20"/>
        </w:rPr>
        <w:t xml:space="preserve">В случае неустранения замечаний к отчетам или выявления несоответствия отчетов требованиям Порядка и соглашения Управление повторно направляет в Организации требование об обеспечении возврата субсидии в областной бюджет в размере и сроки, которые определены в соответствии с бюджетным законодательством и Порядком.</w:t>
      </w:r>
    </w:p>
    <w:p>
      <w:pPr>
        <w:pStyle w:val="0"/>
        <w:jc w:val="both"/>
      </w:pPr>
      <w:r>
        <w:rPr>
          <w:sz w:val="20"/>
        </w:rPr>
      </w:r>
    </w:p>
    <w:p>
      <w:pPr>
        <w:pStyle w:val="2"/>
        <w:outlineLvl w:val="1"/>
        <w:jc w:val="center"/>
      </w:pPr>
      <w:r>
        <w:rPr>
          <w:sz w:val="20"/>
        </w:rPr>
        <w:t xml:space="preserve">4. Требования к проведению мониторинга достижения результата</w:t>
      </w:r>
    </w:p>
    <w:p>
      <w:pPr>
        <w:pStyle w:val="2"/>
        <w:jc w:val="center"/>
      </w:pPr>
      <w:r>
        <w:rPr>
          <w:sz w:val="20"/>
        </w:rPr>
        <w:t xml:space="preserve">предоставления субсидии</w:t>
      </w:r>
    </w:p>
    <w:p>
      <w:pPr>
        <w:pStyle w:val="0"/>
        <w:jc w:val="both"/>
      </w:pPr>
      <w:r>
        <w:rPr>
          <w:sz w:val="20"/>
        </w:rPr>
      </w:r>
    </w:p>
    <w:p>
      <w:pPr>
        <w:pStyle w:val="0"/>
        <w:ind w:firstLine="540"/>
        <w:jc w:val="both"/>
      </w:pPr>
      <w:r>
        <w:rPr>
          <w:sz w:val="20"/>
        </w:rPr>
        <w:t xml:space="preserve">4.1. Управление проводит мониторинг достижения значений результата предоставления субсидий,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субсидий, утвержденным Министерством финансов Российской Федерации.</w:t>
      </w:r>
    </w:p>
    <w:p>
      <w:pPr>
        <w:pStyle w:val="0"/>
        <w:jc w:val="both"/>
      </w:pPr>
      <w:r>
        <w:rPr>
          <w:sz w:val="20"/>
        </w:rPr>
      </w:r>
    </w:p>
    <w:bookmarkStart w:id="135" w:name="P135"/>
    <w:bookmarkEnd w:id="135"/>
    <w:p>
      <w:pPr>
        <w:pStyle w:val="2"/>
        <w:outlineLvl w:val="1"/>
        <w:jc w:val="center"/>
      </w:pPr>
      <w:r>
        <w:rPr>
          <w:sz w:val="20"/>
        </w:rPr>
        <w:t xml:space="preserve">5. Требования об осуществлении контроля за соблюдением</w:t>
      </w:r>
    </w:p>
    <w:p>
      <w:pPr>
        <w:pStyle w:val="2"/>
        <w:jc w:val="center"/>
      </w:pPr>
      <w:r>
        <w:rPr>
          <w:sz w:val="20"/>
        </w:rPr>
        <w:t xml:space="preserve">условий и порядка предоставления субсидии и ответственности</w:t>
      </w:r>
    </w:p>
    <w:p>
      <w:pPr>
        <w:pStyle w:val="2"/>
        <w:jc w:val="center"/>
      </w:pPr>
      <w:r>
        <w:rPr>
          <w:sz w:val="20"/>
        </w:rPr>
        <w:t xml:space="preserve">за их нарушение</w:t>
      </w:r>
    </w:p>
    <w:p>
      <w:pPr>
        <w:pStyle w:val="0"/>
        <w:jc w:val="both"/>
      </w:pPr>
      <w:r>
        <w:rPr>
          <w:sz w:val="20"/>
        </w:rPr>
      </w:r>
    </w:p>
    <w:p>
      <w:pPr>
        <w:pStyle w:val="0"/>
        <w:ind w:firstLine="540"/>
        <w:jc w:val="both"/>
      </w:pPr>
      <w:r>
        <w:rPr>
          <w:sz w:val="20"/>
        </w:rPr>
        <w:t xml:space="preserve">5.1. Управление осуществляет контроль за целевым и эффективным использованием субсидии.</w:t>
      </w:r>
    </w:p>
    <w:p>
      <w:pPr>
        <w:pStyle w:val="0"/>
        <w:spacing w:before="200" w:line-rule="auto"/>
        <w:ind w:firstLine="540"/>
        <w:jc w:val="both"/>
      </w:pPr>
      <w:r>
        <w:rPr>
          <w:sz w:val="20"/>
        </w:rPr>
        <w:t xml:space="preserve">5.2. Управление осуществляет проверки соблюдения Организациями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Воронежской области осуществляют проверки в соответствии со </w:t>
      </w:r>
      <w:hyperlink w:history="0" r:id="rId20"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статьями 268.1</w:t>
        </w:r>
      </w:hyperlink>
      <w:r>
        <w:rPr>
          <w:sz w:val="20"/>
        </w:rPr>
        <w:t xml:space="preserve"> и </w:t>
      </w:r>
      <w:hyperlink w:history="0" r:id="rId21"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Организации дают согласие на осуществление Управлением проверки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22"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статьями 268.1</w:t>
        </w:r>
      </w:hyperlink>
      <w:r>
        <w:rPr>
          <w:sz w:val="20"/>
        </w:rPr>
        <w:t xml:space="preserve"> и </w:t>
      </w:r>
      <w:hyperlink w:history="0" r:id="rId23"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5.3. Ответственность за нецелевое использование предоставленной субсидии, недостоверность сведений, содержащихся в документах, представляемых в Управление, за несоблюдение условий, установленных настоящим Порядком, несут Организации в соответствии с действующим законодательством.</w:t>
      </w:r>
    </w:p>
    <w:p>
      <w:pPr>
        <w:pStyle w:val="0"/>
        <w:spacing w:before="200" w:line-rule="auto"/>
        <w:ind w:firstLine="540"/>
        <w:jc w:val="both"/>
      </w:pPr>
      <w:r>
        <w:rPr>
          <w:sz w:val="20"/>
        </w:rPr>
        <w:t xml:space="preserve">5.4. В случае нарушения Организациями условий, установленных при предоставлении субсидии, выявленного в том числе по фактам проверок, проведенных Управлением и органами государственного финансового контроля Воронежской области, Управление направляет Организациям требование о возврате субсидии. Субсидия подлежит возврату Организациями в областной бюджет в течение 30 календарных дней с даты получения требования.</w:t>
      </w:r>
    </w:p>
    <w:p>
      <w:pPr>
        <w:pStyle w:val="0"/>
        <w:spacing w:before="200" w:line-rule="auto"/>
        <w:ind w:firstLine="540"/>
        <w:jc w:val="both"/>
      </w:pPr>
      <w:r>
        <w:rPr>
          <w:sz w:val="20"/>
        </w:rPr>
        <w:t xml:space="preserve">5.5. При неиспользовании в отчетном финансовом году средств предоставленной субсидии Организации перечисляют остатки данных средств в областной бюджет до 26 декабря года предоставления субсидии.</w:t>
      </w:r>
    </w:p>
    <w:p>
      <w:pPr>
        <w:pStyle w:val="0"/>
        <w:spacing w:before="200" w:line-rule="auto"/>
        <w:ind w:firstLine="540"/>
        <w:jc w:val="both"/>
      </w:pPr>
      <w:r>
        <w:rPr>
          <w:sz w:val="20"/>
        </w:rPr>
        <w:t xml:space="preserve">5.6. При невозврате субсидии в установленный срок Управление принимает меры по взысканию подлежащей возврату субсидии в областной бюджет в судебном порядке.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jc w:val="right"/>
      </w:pPr>
      <w:r>
        <w:rPr>
          <w:sz w:val="20"/>
        </w:rPr>
        <w:t xml:space="preserve">определения объема и предоставления субсидий</w:t>
      </w:r>
    </w:p>
    <w:p>
      <w:pPr>
        <w:pStyle w:val="0"/>
        <w:jc w:val="right"/>
      </w:pPr>
      <w:r>
        <w:rPr>
          <w:sz w:val="20"/>
        </w:rPr>
        <w:t xml:space="preserve">из областного бюджета на реализацию практик</w:t>
      </w:r>
    </w:p>
    <w:p>
      <w:pPr>
        <w:pStyle w:val="0"/>
        <w:jc w:val="right"/>
      </w:pPr>
      <w:r>
        <w:rPr>
          <w:sz w:val="20"/>
        </w:rPr>
        <w:t xml:space="preserve">поддержки добровольчества (волонтерства) по</w:t>
      </w:r>
    </w:p>
    <w:p>
      <w:pPr>
        <w:pStyle w:val="0"/>
        <w:jc w:val="right"/>
      </w:pPr>
      <w:r>
        <w:rPr>
          <w:sz w:val="20"/>
        </w:rPr>
        <w:t xml:space="preserve">итогам проведения ежегодного Всероссийского конкурса</w:t>
      </w:r>
    </w:p>
    <w:p>
      <w:pPr>
        <w:pStyle w:val="0"/>
        <w:jc w:val="right"/>
      </w:pPr>
      <w:r>
        <w:rPr>
          <w:sz w:val="20"/>
        </w:rPr>
        <w:t xml:space="preserve">лучших региональных практик поддержки</w:t>
      </w:r>
    </w:p>
    <w:p>
      <w:pPr>
        <w:pStyle w:val="0"/>
        <w:jc w:val="right"/>
      </w:pPr>
      <w:r>
        <w:rPr>
          <w:sz w:val="20"/>
        </w:rPr>
        <w:t xml:space="preserve">добровольчества (волонтерства) "Регион добрых дел"</w:t>
      </w:r>
    </w:p>
    <w:p>
      <w:pPr>
        <w:pStyle w:val="0"/>
        <w:jc w:val="right"/>
      </w:pPr>
      <w:r>
        <w:rPr>
          <w:sz w:val="20"/>
        </w:rPr>
        <w:t xml:space="preserve">автономной некоммерческой организации "Ресурсный центр</w:t>
      </w:r>
    </w:p>
    <w:p>
      <w:pPr>
        <w:pStyle w:val="0"/>
        <w:jc w:val="right"/>
      </w:pPr>
      <w:r>
        <w:rPr>
          <w:sz w:val="20"/>
        </w:rPr>
        <w:t xml:space="preserve">организации добровольческой деятельности "Волонтеры добра" и</w:t>
      </w:r>
    </w:p>
    <w:p>
      <w:pPr>
        <w:pStyle w:val="0"/>
        <w:jc w:val="right"/>
      </w:pPr>
      <w:r>
        <w:rPr>
          <w:sz w:val="20"/>
        </w:rPr>
        <w:t xml:space="preserve">Воронежской региональной культурно-просветительской</w:t>
      </w:r>
    </w:p>
    <w:p>
      <w:pPr>
        <w:pStyle w:val="0"/>
        <w:jc w:val="right"/>
      </w:pPr>
      <w:r>
        <w:rPr>
          <w:sz w:val="20"/>
        </w:rPr>
        <w:t xml:space="preserve">общественной организации "Наша история" в 2025 году</w:t>
      </w:r>
    </w:p>
    <w:p>
      <w:pPr>
        <w:pStyle w:val="0"/>
        <w:jc w:val="both"/>
      </w:pPr>
      <w:r>
        <w:rPr>
          <w:sz w:val="20"/>
        </w:rPr>
      </w:r>
    </w:p>
    <w:tbl>
      <w:tblPr>
        <w:tblInd w:w="0" w:type="dxa"/>
        <w:tblLayout w:type="fixed"/>
        <w:tblBorders>
          <w:insideV w:val="single" w:sz="4"/>
          <w:insideH w:val="single" w:sz="4"/>
        </w:tblBorders>
        <w:tblCellMar>
          <w:top w:w="102" w:type="dxa"/>
          <w:left w:w="62" w:type="dxa"/>
          <w:bottom w:w="102" w:type="dxa"/>
          <w:right w:w="62" w:type="dxa"/>
        </w:tblCellMar>
      </w:tblPr>
      <w:tblGrid>
        <w:gridCol w:w="562"/>
        <w:gridCol w:w="3123"/>
        <w:gridCol w:w="340"/>
        <w:gridCol w:w="580"/>
        <w:gridCol w:w="1272"/>
        <w:gridCol w:w="1091"/>
        <w:gridCol w:w="2098"/>
      </w:tblGrid>
      <w:tr>
        <w:tblPrEx>
          <w:tblBorders>
            <w:insideH w:val="nil"/>
          </w:tblBorders>
        </w:tblPrEx>
        <w:tc>
          <w:tcPr>
            <w:gridSpan w:val="7"/>
            <w:tcW w:w="9066" w:type="dxa"/>
            <w:tcBorders>
              <w:top w:val="nil"/>
              <w:left w:val="nil"/>
              <w:bottom w:val="nil"/>
              <w:right w:val="nil"/>
            </w:tcBorders>
          </w:tcPr>
          <w:bookmarkStart w:id="164" w:name="P164"/>
          <w:bookmarkEnd w:id="164"/>
          <w:p>
            <w:pPr>
              <w:pStyle w:val="0"/>
              <w:jc w:val="center"/>
            </w:pPr>
            <w:r>
              <w:rPr>
                <w:sz w:val="20"/>
                <w:b w:val="on"/>
              </w:rPr>
              <w:t xml:space="preserve">Заявление о предоставлении субсидии</w:t>
            </w:r>
          </w:p>
        </w:tc>
      </w:tr>
      <w:tr>
        <w:tblPrEx>
          <w:tblBorders>
            <w:insideH w:val="nil"/>
          </w:tblBorders>
        </w:tblPrEx>
        <w:tc>
          <w:tcPr>
            <w:gridSpan w:val="7"/>
            <w:tcW w:w="9066" w:type="dxa"/>
            <w:tcBorders>
              <w:top w:val="nil"/>
              <w:left w:val="nil"/>
              <w:bottom w:val="nil"/>
              <w:right w:val="nil"/>
            </w:tcBorders>
          </w:tcPr>
          <w:p>
            <w:pPr>
              <w:pStyle w:val="0"/>
              <w:ind w:firstLine="283"/>
              <w:jc w:val="both"/>
            </w:pPr>
            <w:r>
              <w:rPr>
                <w:sz w:val="20"/>
              </w:rPr>
              <w:t xml:space="preserve">В соответствии с </w:t>
            </w:r>
            <w:hyperlink w:history="0" w:anchor="P35" w:tooltip="ПОРЯДОК">
              <w:r>
                <w:rPr>
                  <w:sz w:val="20"/>
                  <w:color w:val="0000ff"/>
                </w:rPr>
                <w:t xml:space="preserve">Порядком</w:t>
              </w:r>
            </w:hyperlink>
            <w:r>
              <w:rPr>
                <w:sz w:val="20"/>
              </w:rPr>
              <w:t xml:space="preserve"> определения объема и предоставления субсидий из областного бюджета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добровольчества (волонтерства) "Регион добрых дел" автономной некоммерческой организации "Ресурсный центр организации добровольческой деятельности "Волонтеры добра" и Воронежской региональной культурно-просветительской общественной организации "Наша история" в 2025 году (далее - Порядок) прошу предоставить субсидию в размере _______________</w:t>
            </w:r>
          </w:p>
          <w:p>
            <w:pPr>
              <w:pStyle w:val="0"/>
              <w:jc w:val="both"/>
            </w:pPr>
            <w:r>
              <w:rPr>
                <w:sz w:val="20"/>
              </w:rPr>
              <w:t xml:space="preserve">(______________________________________________________________) рублей</w:t>
            </w:r>
          </w:p>
          <w:p>
            <w:pPr>
              <w:pStyle w:val="0"/>
              <w:jc w:val="center"/>
            </w:pPr>
            <w:r>
              <w:rPr>
                <w:sz w:val="20"/>
              </w:rPr>
              <w:t xml:space="preserve">(прописью)</w:t>
            </w:r>
          </w:p>
          <w:p>
            <w:pPr>
              <w:pStyle w:val="0"/>
              <w:jc w:val="both"/>
            </w:pPr>
            <w:r>
              <w:rPr>
                <w:sz w:val="20"/>
              </w:rPr>
              <w:t xml:space="preserve">по следующим реквизитам:</w:t>
            </w:r>
          </w:p>
          <w:p>
            <w:pPr>
              <w:pStyle w:val="0"/>
              <w:jc w:val="both"/>
            </w:pPr>
            <w:r>
              <w:rPr>
                <w:sz w:val="20"/>
              </w:rPr>
              <w:t xml:space="preserve">1. ИНН _______________________________________________________________</w:t>
            </w:r>
          </w:p>
          <w:p>
            <w:pPr>
              <w:pStyle w:val="0"/>
              <w:jc w:val="both"/>
            </w:pPr>
            <w:r>
              <w:rPr>
                <w:sz w:val="20"/>
              </w:rPr>
              <w:t xml:space="preserve">2. Наименование банка __________________________________________________</w:t>
            </w:r>
          </w:p>
          <w:p>
            <w:pPr>
              <w:pStyle w:val="0"/>
              <w:jc w:val="both"/>
            </w:pPr>
            <w:r>
              <w:rPr>
                <w:sz w:val="20"/>
              </w:rPr>
              <w:t xml:space="preserve">3. Р/с, корр. счет _______________________________________________________</w:t>
            </w:r>
          </w:p>
          <w:p>
            <w:pPr>
              <w:pStyle w:val="0"/>
              <w:jc w:val="both"/>
            </w:pPr>
            <w:r>
              <w:rPr>
                <w:sz w:val="20"/>
              </w:rPr>
              <w:t xml:space="preserve">4. БИК _______________________________________________________________</w:t>
            </w:r>
          </w:p>
          <w:p>
            <w:pPr>
              <w:pStyle w:val="0"/>
              <w:jc w:val="both"/>
            </w:pPr>
            <w:r>
              <w:rPr>
                <w:sz w:val="20"/>
              </w:rPr>
              <w:t xml:space="preserve">5. Индекс _____________________________________________________________</w:t>
            </w:r>
          </w:p>
          <w:p>
            <w:pPr>
              <w:pStyle w:val="0"/>
              <w:jc w:val="both"/>
            </w:pPr>
            <w:r>
              <w:rPr>
                <w:sz w:val="20"/>
              </w:rPr>
              <w:t xml:space="preserve">6. Юридический адрес __________________________________________________</w:t>
            </w:r>
          </w:p>
          <w:p>
            <w:pPr>
              <w:pStyle w:val="0"/>
              <w:jc w:val="both"/>
            </w:pPr>
            <w:r>
              <w:rPr>
                <w:sz w:val="20"/>
              </w:rPr>
              <w:t xml:space="preserve">7. Ф.И.О. (полностью) исполнителя _______________________________________</w:t>
            </w:r>
          </w:p>
          <w:p>
            <w:pPr>
              <w:pStyle w:val="0"/>
              <w:jc w:val="both"/>
            </w:pPr>
            <w:r>
              <w:rPr>
                <w:sz w:val="20"/>
              </w:rPr>
              <w:t xml:space="preserve">8. Контактный телефон (с указанием кода) _________________________________</w:t>
            </w:r>
          </w:p>
          <w:p>
            <w:pPr>
              <w:pStyle w:val="0"/>
              <w:jc w:val="both"/>
            </w:pPr>
            <w:r>
              <w:rPr>
                <w:sz w:val="20"/>
              </w:rPr>
              <w:t xml:space="preserve">9. Способ получения уведомления о принятом решении:</w:t>
            </w:r>
          </w:p>
          <w:p>
            <w:pPr>
              <w:pStyle w:val="0"/>
              <w:ind w:firstLine="283"/>
              <w:jc w:val="both"/>
            </w:pPr>
            <w:r>
              <w:drawing>
                <wp:inline distT="0" distB="0" distL="0" distR="0">
                  <wp:extent cx="123825" cy="123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sz w:val="20"/>
              </w:rPr>
              <w:t xml:space="preserve"> - на адрес электронной почты (адрес почты) ____________________________</w:t>
            </w:r>
          </w:p>
          <w:p>
            <w:pPr>
              <w:pStyle w:val="0"/>
              <w:ind w:firstLine="283"/>
              <w:jc w:val="both"/>
            </w:pPr>
            <w:r>
              <w:drawing>
                <wp:inline distT="0" distB="0" distL="0" distR="0">
                  <wp:extent cx="123825" cy="123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sz w:val="20"/>
              </w:rPr>
              <w:t xml:space="preserve"> - по телефону (телефон/факс) _________________________________________</w:t>
            </w:r>
          </w:p>
          <w:p>
            <w:pPr>
              <w:pStyle w:val="0"/>
              <w:ind w:firstLine="283"/>
              <w:jc w:val="both"/>
            </w:pPr>
            <w:r>
              <w:drawing>
                <wp:inline distT="0" distB="0" distL="0" distR="0">
                  <wp:extent cx="123825" cy="123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sz w:val="20"/>
              </w:rPr>
              <w:t xml:space="preserve"> - иным способом ___________________________________________________</w:t>
            </w:r>
          </w:p>
          <w:p>
            <w:pPr>
              <w:pStyle w:val="0"/>
              <w:jc w:val="center"/>
            </w:pPr>
            <w:r>
              <w:rPr>
                <w:sz w:val="20"/>
              </w:rPr>
              <w:t xml:space="preserve">(указать способ)</w:t>
            </w:r>
          </w:p>
        </w:tc>
      </w:tr>
      <w:tr>
        <w:tblPrEx>
          <w:tblBorders>
            <w:insideH w:val="nil"/>
          </w:tblBorders>
        </w:tblPrEx>
        <w:tc>
          <w:tcPr>
            <w:gridSpan w:val="7"/>
            <w:tcW w:w="9066" w:type="dxa"/>
            <w:tcBorders>
              <w:top w:val="nil"/>
              <w:left w:val="nil"/>
              <w:bottom w:val="nil"/>
              <w:right w:val="nil"/>
            </w:tcBorders>
          </w:tcPr>
          <w:p>
            <w:pPr>
              <w:pStyle w:val="0"/>
              <w:ind w:firstLine="283"/>
              <w:jc w:val="both"/>
            </w:pPr>
            <w:r>
              <w:rPr>
                <w:sz w:val="20"/>
              </w:rPr>
              <w:t xml:space="preserve">Подтверждаю, что _____________________________________________________</w:t>
            </w:r>
          </w:p>
          <w:p>
            <w:pPr>
              <w:pStyle w:val="0"/>
              <w:jc w:val="center"/>
            </w:pPr>
            <w:r>
              <w:rPr>
                <w:sz w:val="20"/>
              </w:rPr>
              <w:t xml:space="preserve">(полное наименование Организации)</w:t>
            </w:r>
          </w:p>
          <w:p>
            <w:pPr>
              <w:pStyle w:val="0"/>
              <w:jc w:val="both"/>
            </w:pPr>
            <w:r>
              <w:rPr>
                <w:sz w:val="20"/>
              </w:rPr>
              <w:t xml:space="preserve">соответствует требованиям, установленным </w:t>
            </w:r>
            <w:hyperlink w:history="0" w:anchor="P57" w:tooltip="2.1. На дату подачи заявления Организация должна соответствовать следующим требованиям:">
              <w:r>
                <w:rPr>
                  <w:sz w:val="20"/>
                  <w:color w:val="0000ff"/>
                </w:rPr>
                <w:t xml:space="preserve">пунктом 2.1</w:t>
              </w:r>
            </w:hyperlink>
            <w:r>
              <w:rPr>
                <w:sz w:val="20"/>
              </w:rPr>
              <w:t xml:space="preserve"> Порядка.</w:t>
            </w:r>
          </w:p>
        </w:tc>
      </w:tr>
      <w:tr>
        <w:tblPrEx>
          <w:tblBorders>
            <w:insideH w:val="nil"/>
          </w:tblBorders>
        </w:tblPrEx>
        <w:tc>
          <w:tcPr>
            <w:gridSpan w:val="7"/>
            <w:tcW w:w="9066" w:type="dxa"/>
            <w:tcBorders>
              <w:top w:val="nil"/>
              <w:left w:val="nil"/>
              <w:bottom w:val="nil"/>
              <w:right w:val="nil"/>
            </w:tcBorders>
          </w:tcPr>
          <w:p>
            <w:pPr>
              <w:pStyle w:val="0"/>
              <w:jc w:val="both"/>
            </w:pPr>
            <w:r>
              <w:rPr>
                <w:sz w:val="20"/>
              </w:rPr>
              <w:t xml:space="preserve">Даю согласие на осуществление в отношении</w:t>
            </w:r>
          </w:p>
          <w:p>
            <w:pPr>
              <w:pStyle w:val="0"/>
              <w:jc w:val="both"/>
            </w:pPr>
            <w:r>
              <w:rPr>
                <w:sz w:val="20"/>
              </w:rPr>
              <w:t xml:space="preserve">_____________________________________________________________________</w:t>
            </w:r>
          </w:p>
          <w:p>
            <w:pPr>
              <w:pStyle w:val="0"/>
              <w:jc w:val="center"/>
            </w:pPr>
            <w:r>
              <w:rPr>
                <w:sz w:val="20"/>
              </w:rPr>
              <w:t xml:space="preserve">(полное наименование Организации)</w:t>
            </w:r>
          </w:p>
          <w:p>
            <w:pPr>
              <w:pStyle w:val="0"/>
              <w:jc w:val="both"/>
            </w:pPr>
            <w:r>
              <w:rPr>
                <w:sz w:val="20"/>
              </w:rPr>
              <w:t xml:space="preserve">управлением молодежной политики Воронежской области проверки соблюдения условий и порядка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w:history="0" r:id="rId25"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статьями 268.1</w:t>
              </w:r>
            </w:hyperlink>
            <w:r>
              <w:rPr>
                <w:sz w:val="20"/>
              </w:rPr>
              <w:t xml:space="preserve"> и </w:t>
            </w:r>
            <w:hyperlink w:history="0" r:id="rId26"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tc>
      </w:tr>
      <w:tr>
        <w:tblPrEx>
          <w:tblBorders>
            <w:insideH w:val="nil"/>
          </w:tblBorders>
        </w:tblPrEx>
        <w:tc>
          <w:tcPr>
            <w:gridSpan w:val="7"/>
            <w:tcW w:w="9066" w:type="dxa"/>
            <w:tcBorders>
              <w:top w:val="nil"/>
              <w:left w:val="nil"/>
              <w:right w:val="nil"/>
            </w:tcBorders>
          </w:tcPr>
          <w:p>
            <w:pPr>
              <w:pStyle w:val="0"/>
              <w:outlineLvl w:val="2"/>
              <w:jc w:val="center"/>
            </w:pPr>
            <w:r>
              <w:rPr>
                <w:sz w:val="20"/>
              </w:rPr>
              <w:t xml:space="preserve">Опись прилагаемых документов</w:t>
            </w:r>
          </w:p>
        </w:tc>
      </w:tr>
      <w:tr>
        <w:tblPrEx>
          <w:tblBorders>
            <w:left w:val="single" w:sz="4"/>
            <w:right w:val="single" w:sz="4"/>
          </w:tblBorders>
        </w:tblPrEx>
        <w:tc>
          <w:tcPr>
            <w:tcW w:w="562" w:type="dxa"/>
          </w:tcPr>
          <w:p>
            <w:pPr>
              <w:pStyle w:val="0"/>
              <w:jc w:val="center"/>
            </w:pPr>
            <w:r>
              <w:rPr>
                <w:sz w:val="20"/>
              </w:rPr>
              <w:t xml:space="preserve">N п/п</w:t>
            </w:r>
          </w:p>
        </w:tc>
        <w:tc>
          <w:tcPr>
            <w:gridSpan w:val="5"/>
            <w:tcW w:w="6406" w:type="dxa"/>
          </w:tcPr>
          <w:p>
            <w:pPr>
              <w:pStyle w:val="0"/>
              <w:jc w:val="center"/>
            </w:pPr>
            <w:r>
              <w:rPr>
                <w:sz w:val="20"/>
              </w:rPr>
              <w:t xml:space="preserve">Наименование документа</w:t>
            </w:r>
          </w:p>
        </w:tc>
        <w:tc>
          <w:tcPr>
            <w:tcW w:w="2098" w:type="dxa"/>
          </w:tcPr>
          <w:p>
            <w:pPr>
              <w:pStyle w:val="0"/>
              <w:jc w:val="center"/>
            </w:pPr>
            <w:r>
              <w:rPr>
                <w:sz w:val="20"/>
              </w:rPr>
              <w:t xml:space="preserve">Количество листов</w:t>
            </w:r>
          </w:p>
        </w:tc>
      </w:tr>
      <w:tr>
        <w:tblPrEx>
          <w:tblBorders>
            <w:left w:val="single" w:sz="4"/>
            <w:right w:val="single" w:sz="4"/>
          </w:tblBorders>
        </w:tblPrEx>
        <w:tc>
          <w:tcPr>
            <w:tcW w:w="562" w:type="dxa"/>
          </w:tcPr>
          <w:p>
            <w:pPr>
              <w:pStyle w:val="0"/>
              <w:jc w:val="center"/>
            </w:pPr>
            <w:r>
              <w:rPr>
                <w:sz w:val="20"/>
              </w:rPr>
              <w:t xml:space="preserve">1</w:t>
            </w:r>
          </w:p>
        </w:tc>
        <w:tc>
          <w:tcPr>
            <w:gridSpan w:val="5"/>
            <w:tcW w:w="6406" w:type="dxa"/>
          </w:tcPr>
          <w:p>
            <w:pPr>
              <w:pStyle w:val="0"/>
            </w:pPr>
            <w:r>
              <w:rPr>
                <w:sz w:val="20"/>
              </w:rPr>
            </w:r>
          </w:p>
        </w:tc>
        <w:tc>
          <w:tcPr>
            <w:tcW w:w="2098" w:type="dxa"/>
          </w:tcPr>
          <w:p>
            <w:pPr>
              <w:pStyle w:val="0"/>
            </w:pPr>
            <w:r>
              <w:rPr>
                <w:sz w:val="20"/>
              </w:rPr>
            </w:r>
          </w:p>
        </w:tc>
      </w:tr>
      <w:tr>
        <w:tblPrEx>
          <w:tblBorders>
            <w:left w:val="single" w:sz="4"/>
            <w:right w:val="single" w:sz="4"/>
          </w:tblBorders>
        </w:tblPrEx>
        <w:tc>
          <w:tcPr>
            <w:tcW w:w="562" w:type="dxa"/>
          </w:tcPr>
          <w:p>
            <w:pPr>
              <w:pStyle w:val="0"/>
              <w:jc w:val="center"/>
            </w:pPr>
            <w:r>
              <w:rPr>
                <w:sz w:val="20"/>
              </w:rPr>
              <w:t xml:space="preserve">2</w:t>
            </w:r>
          </w:p>
        </w:tc>
        <w:tc>
          <w:tcPr>
            <w:gridSpan w:val="5"/>
            <w:tcW w:w="6406" w:type="dxa"/>
          </w:tcPr>
          <w:p>
            <w:pPr>
              <w:pStyle w:val="0"/>
            </w:pPr>
            <w:r>
              <w:rPr>
                <w:sz w:val="20"/>
              </w:rPr>
            </w:r>
          </w:p>
        </w:tc>
        <w:tc>
          <w:tcPr>
            <w:tcW w:w="2098" w:type="dxa"/>
          </w:tcPr>
          <w:p>
            <w:pPr>
              <w:pStyle w:val="0"/>
            </w:pPr>
            <w:r>
              <w:rPr>
                <w:sz w:val="20"/>
              </w:rPr>
            </w:r>
          </w:p>
        </w:tc>
      </w:tr>
      <w:tr>
        <w:tblPrEx>
          <w:tblBorders>
            <w:left w:val="single" w:sz="4"/>
            <w:right w:val="single" w:sz="4"/>
          </w:tblBorders>
        </w:tblPrEx>
        <w:tc>
          <w:tcPr>
            <w:tcW w:w="562" w:type="dxa"/>
          </w:tcPr>
          <w:p>
            <w:pPr>
              <w:pStyle w:val="0"/>
              <w:jc w:val="center"/>
            </w:pPr>
            <w:r>
              <w:rPr>
                <w:sz w:val="20"/>
              </w:rPr>
              <w:t xml:space="preserve">3</w:t>
            </w:r>
          </w:p>
        </w:tc>
        <w:tc>
          <w:tcPr>
            <w:gridSpan w:val="5"/>
            <w:tcW w:w="6406" w:type="dxa"/>
          </w:tcPr>
          <w:p>
            <w:pPr>
              <w:pStyle w:val="0"/>
            </w:pPr>
            <w:r>
              <w:rPr>
                <w:sz w:val="20"/>
              </w:rPr>
            </w:r>
          </w:p>
        </w:tc>
        <w:tc>
          <w:tcPr>
            <w:tcW w:w="2098" w:type="dxa"/>
          </w:tcPr>
          <w:p>
            <w:pPr>
              <w:pStyle w:val="0"/>
            </w:pPr>
            <w:r>
              <w:rPr>
                <w:sz w:val="20"/>
              </w:rPr>
            </w:r>
          </w:p>
        </w:tc>
      </w:tr>
      <w:tr>
        <w:tblPrEx>
          <w:tblBorders>
            <w:left w:val="single" w:sz="4"/>
            <w:right w:val="single" w:sz="4"/>
          </w:tblBorders>
        </w:tblPrEx>
        <w:tc>
          <w:tcPr>
            <w:tcW w:w="562" w:type="dxa"/>
          </w:tcPr>
          <w:p>
            <w:pPr>
              <w:pStyle w:val="0"/>
              <w:jc w:val="center"/>
            </w:pPr>
            <w:r>
              <w:rPr>
                <w:sz w:val="20"/>
              </w:rPr>
              <w:t xml:space="preserve">...</w:t>
            </w:r>
          </w:p>
        </w:tc>
        <w:tc>
          <w:tcPr>
            <w:gridSpan w:val="5"/>
            <w:tcW w:w="6406" w:type="dxa"/>
          </w:tcPr>
          <w:p>
            <w:pPr>
              <w:pStyle w:val="0"/>
            </w:pPr>
            <w:r>
              <w:rPr>
                <w:sz w:val="20"/>
              </w:rPr>
            </w:r>
          </w:p>
        </w:tc>
        <w:tc>
          <w:tcPr>
            <w:tcW w:w="2098" w:type="dxa"/>
          </w:tcPr>
          <w:p>
            <w:pPr>
              <w:pStyle w:val="0"/>
            </w:pPr>
            <w:r>
              <w:rPr>
                <w:sz w:val="20"/>
              </w:rPr>
            </w:r>
          </w:p>
        </w:tc>
      </w:tr>
      <w:tr>
        <w:tblPrEx>
          <w:tblBorders>
            <w:left w:val="single" w:sz="4"/>
            <w:right w:val="single" w:sz="4"/>
          </w:tblBorders>
        </w:tblPrEx>
        <w:tc>
          <w:tcPr>
            <w:gridSpan w:val="6"/>
            <w:tcW w:w="6968" w:type="dxa"/>
          </w:tcPr>
          <w:p>
            <w:pPr>
              <w:pStyle w:val="0"/>
              <w:jc w:val="both"/>
            </w:pPr>
            <w:r>
              <w:rPr>
                <w:sz w:val="20"/>
              </w:rPr>
              <w:t xml:space="preserve">ИТОГО</w:t>
            </w:r>
          </w:p>
        </w:tc>
        <w:tc>
          <w:tcPr>
            <w:tcW w:w="2098" w:type="dxa"/>
          </w:tcPr>
          <w:p>
            <w:pPr>
              <w:pStyle w:val="0"/>
            </w:pPr>
            <w:r>
              <w:rPr>
                <w:sz w:val="20"/>
              </w:rPr>
            </w:r>
          </w:p>
        </w:tc>
      </w:tr>
      <w:tr>
        <w:tblPrEx>
          <w:tblBorders>
            <w:insideH w:val="nil"/>
          </w:tblBorders>
        </w:tblPrEx>
        <w:tc>
          <w:tcPr>
            <w:gridSpan w:val="7"/>
            <w:tcW w:w="9066" w:type="dxa"/>
            <w:tcBorders>
              <w:left w:val="nil"/>
              <w:bottom w:val="nil"/>
              <w:right w:val="nil"/>
            </w:tcBorders>
          </w:tcPr>
          <w:p>
            <w:pPr>
              <w:pStyle w:val="0"/>
            </w:pPr>
            <w:r>
              <w:rPr>
                <w:sz w:val="20"/>
              </w:rPr>
            </w:r>
          </w:p>
        </w:tc>
      </w:tr>
      <w:tr>
        <w:tblPrEx>
          <w:tblBorders>
            <w:insideV w:val="nil"/>
            <w:insideH w:val="nil"/>
          </w:tblBorders>
        </w:tblPrEx>
        <w:tc>
          <w:tcPr>
            <w:gridSpan w:val="2"/>
            <w:tcW w:w="3685" w:type="dxa"/>
            <w:tcBorders>
              <w:top w:val="nil"/>
              <w:bottom w:val="nil"/>
            </w:tcBorders>
          </w:tcPr>
          <w:p>
            <w:pPr>
              <w:pStyle w:val="0"/>
              <w:jc w:val="both"/>
            </w:pPr>
            <w:r>
              <w:rPr>
                <w:sz w:val="20"/>
              </w:rPr>
              <w:t xml:space="preserve">Руководитель Организации</w:t>
            </w:r>
          </w:p>
        </w:tc>
        <w:tc>
          <w:tcPr>
            <w:tcW w:w="340" w:type="dxa"/>
            <w:tcBorders>
              <w:top w:val="nil"/>
              <w:bottom w:val="nil"/>
            </w:tcBorders>
          </w:tcPr>
          <w:p>
            <w:pPr>
              <w:pStyle w:val="0"/>
            </w:pPr>
            <w:r>
              <w:rPr>
                <w:sz w:val="20"/>
              </w:rPr>
            </w:r>
          </w:p>
        </w:tc>
        <w:tc>
          <w:tcPr>
            <w:gridSpan w:val="2"/>
            <w:tcW w:w="1852" w:type="dxa"/>
            <w:tcBorders>
              <w:top w:val="nil"/>
              <w:bottom w:val="nil"/>
            </w:tcBorders>
          </w:tcPr>
          <w:p>
            <w:pPr>
              <w:pStyle w:val="0"/>
              <w:jc w:val="center"/>
            </w:pPr>
            <w:r>
              <w:rPr>
                <w:sz w:val="20"/>
              </w:rPr>
              <w:t xml:space="preserve">_____________</w:t>
            </w:r>
          </w:p>
        </w:tc>
        <w:tc>
          <w:tcPr>
            <w:gridSpan w:val="2"/>
            <w:tcW w:w="3189" w:type="dxa"/>
            <w:tcBorders>
              <w:top w:val="nil"/>
              <w:bottom w:val="nil"/>
            </w:tcBorders>
          </w:tcPr>
          <w:p>
            <w:pPr>
              <w:pStyle w:val="0"/>
              <w:jc w:val="center"/>
            </w:pPr>
            <w:r>
              <w:rPr>
                <w:sz w:val="20"/>
              </w:rPr>
              <w:t xml:space="preserve">____________________</w:t>
            </w:r>
          </w:p>
        </w:tc>
      </w:tr>
      <w:tr>
        <w:tblPrEx>
          <w:tblBorders>
            <w:insideV w:val="nil"/>
            <w:insideH w:val="nil"/>
          </w:tblBorders>
        </w:tblPrEx>
        <w:tc>
          <w:tcPr>
            <w:gridSpan w:val="2"/>
            <w:tcW w:w="3685" w:type="dxa"/>
            <w:tcBorders>
              <w:top w:val="nil"/>
              <w:bottom w:val="nil"/>
            </w:tcBorders>
          </w:tcPr>
          <w:p>
            <w:pPr>
              <w:pStyle w:val="0"/>
            </w:pPr>
            <w:r>
              <w:rPr>
                <w:sz w:val="20"/>
              </w:rPr>
            </w:r>
          </w:p>
        </w:tc>
        <w:tc>
          <w:tcPr>
            <w:tcW w:w="340" w:type="dxa"/>
            <w:tcBorders>
              <w:top w:val="nil"/>
              <w:bottom w:val="nil"/>
            </w:tcBorders>
          </w:tcPr>
          <w:p>
            <w:pPr>
              <w:pStyle w:val="0"/>
            </w:pPr>
            <w:r>
              <w:rPr>
                <w:sz w:val="20"/>
              </w:rPr>
            </w:r>
          </w:p>
        </w:tc>
        <w:tc>
          <w:tcPr>
            <w:gridSpan w:val="2"/>
            <w:tcW w:w="1852" w:type="dxa"/>
            <w:tcBorders>
              <w:top w:val="nil"/>
              <w:bottom w:val="nil"/>
            </w:tcBorders>
          </w:tcPr>
          <w:p>
            <w:pPr>
              <w:pStyle w:val="0"/>
              <w:jc w:val="center"/>
            </w:pPr>
            <w:r>
              <w:rPr>
                <w:sz w:val="20"/>
              </w:rPr>
              <w:t xml:space="preserve">(подпись)</w:t>
            </w:r>
          </w:p>
        </w:tc>
        <w:tc>
          <w:tcPr>
            <w:gridSpan w:val="2"/>
            <w:tcW w:w="3189" w:type="dxa"/>
            <w:tcBorders>
              <w:top w:val="nil"/>
              <w:bottom w:val="nil"/>
            </w:tcBorders>
          </w:tcPr>
          <w:p>
            <w:pPr>
              <w:pStyle w:val="0"/>
              <w:jc w:val="center"/>
            </w:pPr>
            <w:r>
              <w:rPr>
                <w:sz w:val="20"/>
              </w:rPr>
              <w:t xml:space="preserve">(расшифровка подписи)</w:t>
            </w:r>
          </w:p>
        </w:tc>
      </w:tr>
      <w:tr>
        <w:tblPrEx>
          <w:tblBorders>
            <w:insideV w:val="nil"/>
            <w:insideH w:val="nil"/>
          </w:tblBorders>
        </w:tblPrEx>
        <w:tc>
          <w:tcPr>
            <w:gridSpan w:val="4"/>
            <w:tcW w:w="4605" w:type="dxa"/>
            <w:tcBorders>
              <w:top w:val="nil"/>
              <w:bottom w:val="nil"/>
            </w:tcBorders>
          </w:tcPr>
          <w:p>
            <w:pPr>
              <w:pStyle w:val="0"/>
              <w:jc w:val="both"/>
            </w:pPr>
            <w:r>
              <w:rPr>
                <w:sz w:val="20"/>
              </w:rPr>
              <w:t xml:space="preserve">"___" _____________ 20__ г.</w:t>
            </w:r>
          </w:p>
        </w:tc>
        <w:tc>
          <w:tcPr>
            <w:gridSpan w:val="3"/>
            <w:tcW w:w="4461" w:type="dxa"/>
            <w:tcBorders>
              <w:top w:val="nil"/>
              <w:bottom w:val="nil"/>
            </w:tcBorders>
          </w:tcPr>
          <w:p>
            <w:pPr>
              <w:pStyle w:val="0"/>
            </w:pPr>
            <w:r>
              <w:rPr>
                <w:sz w:val="20"/>
              </w:rPr>
            </w:r>
          </w:p>
        </w:tc>
      </w:tr>
      <w:tr>
        <w:tblPrEx>
          <w:tblBorders>
            <w:insideV w:val="nil"/>
            <w:insideH w:val="nil"/>
          </w:tblBorders>
        </w:tblPrEx>
        <w:tc>
          <w:tcPr>
            <w:gridSpan w:val="4"/>
            <w:tcW w:w="4605" w:type="dxa"/>
            <w:tcBorders>
              <w:top w:val="nil"/>
              <w:bottom w:val="nil"/>
            </w:tcBorders>
          </w:tcPr>
          <w:p>
            <w:pPr>
              <w:pStyle w:val="0"/>
              <w:jc w:val="both"/>
            </w:pPr>
            <w:r>
              <w:rPr>
                <w:sz w:val="20"/>
              </w:rPr>
              <w:t xml:space="preserve">МП</w:t>
            </w:r>
          </w:p>
          <w:p>
            <w:pPr>
              <w:pStyle w:val="0"/>
              <w:jc w:val="both"/>
            </w:pPr>
            <w:r>
              <w:rPr>
                <w:sz w:val="20"/>
              </w:rPr>
              <w:t xml:space="preserve">(при наличии)</w:t>
            </w:r>
          </w:p>
        </w:tc>
        <w:tc>
          <w:tcPr>
            <w:gridSpan w:val="3"/>
            <w:tcW w:w="4461" w:type="dxa"/>
            <w:tcBorders>
              <w:top w:val="nil"/>
              <w:bottom w:val="nil"/>
            </w:tcBorders>
          </w:tcPr>
          <w:p>
            <w:pPr>
              <w:pStyle w:val="0"/>
            </w:pPr>
            <w:r>
              <w:rPr>
                <w:sz w:val="20"/>
              </w:rPr>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Воронежской обл. от 07.03.2025 N 146</w:t>
            <w:br/>
            <w:t>"Об утверждении Порядка определения объема и предоставл...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25.05.2025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790&amp;dst=103431" TargetMode = "External"/>
	<Relationship Id="rId8" Type="http://schemas.openxmlformats.org/officeDocument/2006/relationships/hyperlink" Target="https://login.consultant.ru/link/?req=doc&amp;base=LAW&amp;n=490805" TargetMode = "External"/>
	<Relationship Id="rId9" Type="http://schemas.openxmlformats.org/officeDocument/2006/relationships/hyperlink" Target="https://login.consultant.ru/link/?req=doc&amp;base=RLAW181&amp;n=129266" TargetMode = "External"/>
	<Relationship Id="rId10" Type="http://schemas.openxmlformats.org/officeDocument/2006/relationships/hyperlink" Target="https://login.consultant.ru/link/?req=doc&amp;base=RLAW181&amp;n=129266&amp;dst=2" TargetMode = "External"/>
	<Relationship Id="rId11" Type="http://schemas.openxmlformats.org/officeDocument/2006/relationships/hyperlink" Target="https://login.consultant.ru/link/?req=doc&amp;base=LAW&amp;n=121087&amp;dst=100142" TargetMode = "External"/>
	<Relationship Id="rId12" Type="http://schemas.openxmlformats.org/officeDocument/2006/relationships/hyperlink" Target="https://login.consultant.ru/link/?req=doc&amp;base=LAW&amp;n=494968" TargetMode = "External"/>
	<Relationship Id="rId13" Type="http://schemas.openxmlformats.org/officeDocument/2006/relationships/hyperlink" Target="https://login.consultant.ru/link/?req=doc&amp;base=LAW&amp;n=483130&amp;dst=5769" TargetMode = "External"/>
	<Relationship Id="rId14" Type="http://schemas.openxmlformats.org/officeDocument/2006/relationships/hyperlink" Target="https://login.consultant.ru/link/?req=doc&amp;base=LAW&amp;n=466790&amp;dst=3704" TargetMode = "External"/>
	<Relationship Id="rId15" Type="http://schemas.openxmlformats.org/officeDocument/2006/relationships/hyperlink" Target="https://login.consultant.ru/link/?req=doc&amp;base=LAW&amp;n=466790&amp;dst=3722" TargetMode = "External"/>
	<Relationship Id="rId16" Type="http://schemas.openxmlformats.org/officeDocument/2006/relationships/hyperlink" Target="https://login.consultant.ru/link/?req=doc&amp;base=LAW&amp;n=121087&amp;dst=100142" TargetMode = "External"/>
	<Relationship Id="rId17" Type="http://schemas.openxmlformats.org/officeDocument/2006/relationships/hyperlink" Target="https://login.consultant.ru/link/?req=doc&amp;base=LAW&amp;n=494968" TargetMode = "External"/>
	<Relationship Id="rId18" Type="http://schemas.openxmlformats.org/officeDocument/2006/relationships/hyperlink" Target="https://login.consultant.ru/link/?req=doc&amp;base=LAW&amp;n=483130&amp;dst=5769" TargetMode = "External"/>
	<Relationship Id="rId19" Type="http://schemas.openxmlformats.org/officeDocument/2006/relationships/hyperlink" Target="https://login.consultant.ru/link/?req=doc&amp;base=LAW&amp;n=436518&amp;dst=100016" TargetMode = "External"/>
	<Relationship Id="rId20" Type="http://schemas.openxmlformats.org/officeDocument/2006/relationships/hyperlink" Target="https://login.consultant.ru/link/?req=doc&amp;base=LAW&amp;n=466790&amp;dst=3704" TargetMode = "External"/>
	<Relationship Id="rId21" Type="http://schemas.openxmlformats.org/officeDocument/2006/relationships/hyperlink" Target="https://login.consultant.ru/link/?req=doc&amp;base=LAW&amp;n=466790&amp;dst=3722" TargetMode = "External"/>
	<Relationship Id="rId22" Type="http://schemas.openxmlformats.org/officeDocument/2006/relationships/hyperlink" Target="https://login.consultant.ru/link/?req=doc&amp;base=LAW&amp;n=466790&amp;dst=3704" TargetMode = "External"/>
	<Relationship Id="rId23" Type="http://schemas.openxmlformats.org/officeDocument/2006/relationships/hyperlink" Target="https://login.consultant.ru/link/?req=doc&amp;base=LAW&amp;n=466790&amp;dst=3722" TargetMode = "External"/>
	<Relationship Id="rId24" Type="http://schemas.openxmlformats.org/officeDocument/2006/relationships/image" Target="media/image2.wmf"/>
	<Relationship Id="rId25" Type="http://schemas.openxmlformats.org/officeDocument/2006/relationships/hyperlink" Target="https://login.consultant.ru/link/?req=doc&amp;base=LAW&amp;n=466790&amp;dst=3704" TargetMode = "External"/>
	<Relationship Id="rId26" Type="http://schemas.openxmlformats.org/officeDocument/2006/relationships/hyperlink" Target="https://login.consultant.ru/link/?req=doc&amp;base=LAW&amp;n=466790&amp;dst=372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Воронежской обл. от 07.03.2025 N 146
"Об утверждении Порядка определения объема и предоставления субсидий из областного бюджета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добровольчества (волонтерства) "Регион добрых дел" автономной некоммерческой организации "Ресурсный центр организации добровольческой деятельности "Волонтеры добра" и Воронежской региональной культур</dc:title>
  <dcterms:created xsi:type="dcterms:W3CDTF">2025-05-25T11:30:08Z</dcterms:created>
</cp:coreProperties>
</file>