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03.04.2024 N 223</w:t>
              <w:br/>
              <w:t xml:space="preserve">"Об утверждении Порядка предоставления субсидии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2024 г. N 223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ПОДДЕРЖКИ И ПРОДВИЖЕНИЯ</w:t>
      </w:r>
    </w:p>
    <w:p>
      <w:pPr>
        <w:pStyle w:val="2"/>
        <w:jc w:val="center"/>
      </w:pPr>
      <w:r>
        <w:rPr>
          <w:sz w:val="20"/>
        </w:rPr>
        <w:t xml:space="preserve">ОБЩЕСТВЕННЫХ, ГОСУДАРСТВЕННЫХ И МУНИЦИПАЛЬНЫХ ИНИЦИАТИВ</w:t>
      </w:r>
    </w:p>
    <w:p>
      <w:pPr>
        <w:pStyle w:val="2"/>
        <w:jc w:val="center"/>
      </w:pPr>
      <w:r>
        <w:rPr>
          <w:sz w:val="20"/>
        </w:rPr>
        <w:t xml:space="preserve">ВОРОНЕЖСКОЙ ОБЛАСТИ "ОБРАЗ БУДУЩЕГО" НА ПРОВЕДЕНИЕ КОНКУРСОВ</w:t>
      </w:r>
    </w:p>
    <w:p>
      <w:pPr>
        <w:pStyle w:val="2"/>
        <w:jc w:val="center"/>
      </w:pPr>
      <w:r>
        <w:rPr>
          <w:sz w:val="20"/>
        </w:rPr>
        <w:t xml:space="preserve">И ОСУЩЕСТВЛЕНИЕ ПОДДЕРЖКИ ПРОЕКТОВ ГРАЖДАН,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НА КОНКУРСНОЙ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w:history="0" r:id="rId9" w:tooltip="Закон Воронежской области от 06.10.2011 N 134-ОЗ (ред. от 27.02.2024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Воронежской обл. от 10.04.2023 N 256 &quot;Об утверждении Порядка определения объема и условий предоставления субсидии из областного бюджета автономной некоммерческой организации &quot;Центр поддержки и продвижения общественных, государственных и муниципальных инициатив Воронежской области &quot;Образ Будущего&quot;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 области от 10.04.2023 N 256 "Об утверждении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2023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03.04.2024 N 223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"ЦЕНТР ПОДДЕРЖКИ И ПРОДВИЖЕНИЯ ОБЩЕСТВЕННЫХ,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ИНИЦИАТИВ ВОРОНЕЖСКОЙ</w:t>
      </w:r>
    </w:p>
    <w:p>
      <w:pPr>
        <w:pStyle w:val="2"/>
        <w:jc w:val="center"/>
      </w:pPr>
      <w:r>
        <w:rPr>
          <w:sz w:val="20"/>
        </w:rPr>
        <w:t xml:space="preserve">ОБЛАСТИ "ОБРАЗ БУДУЩЕГО" НА ПРОВЕДЕНИЕ КОНКУРСОВ</w:t>
      </w:r>
    </w:p>
    <w:p>
      <w:pPr>
        <w:pStyle w:val="2"/>
        <w:jc w:val="center"/>
      </w:pPr>
      <w:r>
        <w:rPr>
          <w:sz w:val="20"/>
        </w:rPr>
        <w:t xml:space="preserve">И ОСУЩЕСТВЛЕНИЕ ПОДДЕРЖКИ ПРОЕКТОВ ГРАЖДАН,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НА КОНКУРСНОЙ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 (далее соответственно - Порядок, субсидии) устанавливает цели, условия предоставления субсидии и порядок определения объема и предоставления субсидии из областного бюджета, 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нарушение, требования к проведению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Получатель субсидии - 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министерство социальной защиты Воронежской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соответствии со сводной бюджетной росписью в пределах бюджетных ассигнований, предусмотренных законом Воронежской области об областном бюджете на соответствующий финансовый год и на плановый период на цели, указанные в настоящем Порядке.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предоставления субсидии является грантовая поддержка Получателем субсидии проектов граждан, социально ориентированных некоммерческих организаций, территориального общественного самоуправления на конкурсной основе, направленных на решение социально значимых вопросов и развитие гражданского общества в интересах жителей Воронежской области, в рамках государственной </w:t>
      </w:r>
      <w:hyperlink w:history="0" r:id="rId11" w:tooltip="Постановление Правительства Воронежской обл. от 31.12.2013 N 1187 (ред. от 20.02.2024) &quot;Об утверждении государственной программы Воронежской области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"Социальная поддержка граждан", утвержденной постановлением Правительства Воронежской области от 31.12.2013 N 1187.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Способом предоставления субсидии является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сеть "Интернет")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на финансовое обеспечение затрат Получателей субсидии, возникающих при осуществлении грантовой поддержки Получателем субсидии проектов граждан, социально ориентированных некоммерческих организаций, территориального общественного самоуправления по результатам конкурса, проводимого Получателем субсидии, в соответствии с порядком проведения конкурса, утвержденным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Гранты предоставляются на цели, определенные </w:t>
      </w:r>
      <w:hyperlink w:history="0" w:anchor="P48" w:tooltip="1.4. Целью предоставления субсидии является грантовая поддержка Получателем субсидии проектов граждан, социально ориентированных некоммерческих организаций, территориального общественного самоуправления на конкурсной основе, направленных на решение социально значимых вопросов и развитие гражданского общества в интересах жителей Воронежской области, в рамках государственной программы Воронежской области &quot;Социальная поддержка граждан&quot;, утвержденной постановлением Правительства Воронежской области от 31.12...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дату подачи заявления о предоставлении субсидии Получатель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является иностранным юридическим лицом, в том числе местом регистрации которого являются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находится в составляемых в рамках реализации полномочий, предусмотренных </w:t>
      </w:r>
      <w:hyperlink w:history="0" r:id="rId12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получает средства из бюджета Воронежской области на основании иных нормативных правовых актов Воронежской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является иностранным агентом в соответствии с Федеральным </w:t>
      </w:r>
      <w:hyperlink w:history="0" r:id="rId13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Получателя субсидии на едином налоговом счете отсутствует или не превышает размер, определенный </w:t>
      </w:r>
      <w:hyperlink w:history="0" r:id="rId14" w:tooltip="&quot;Налоговый кодекс Российской Федерации (часть первая)&quot; от 31.07.1998 N 146-ФЗ (ред. от 26.02.2024)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Получателя субсидии отсутствует просроченная задолженность по возврату в бюджет Воронежской области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 из бюджета Воронежской области (за исключением случаев, установленных Правительством Воронежской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субсидии Получатель субсидии представляет в Министерство </w:t>
      </w:r>
      <w:hyperlink w:history="0" w:anchor="P159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к настоящему Порядку. К заявлению прилагаются: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документа, подтверждающего факт внесения записи о государственной регистрации Получателя субсидии в Единый государственный реестр юридических лиц;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свидетельства о постановке на учет в налоговом органе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устава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утвержденный Получателем субсидии порядок проведения конкурса на предоставление грантов с указанием в том числе размеров предоставляемых грантов и (или) порядка определения размеров грантов, а также количества предоставляемых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представил по собственной инициативе указанные в </w:t>
      </w:r>
      <w:hyperlink w:history="0" w:anchor="P67" w:tooltip="- заверенная Получателем субсидии копия документа, подтверждающего факт внесения записи о государственной регистрации Получателя субсидии в Единый государственный реестр юридических лиц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8" w:tooltip="- заверенная Получателем субсидии копия свидетельства о постановке на учет в налоговом органе Получателя субсидии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 документы, Министерство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соответствия Получателя субсидии требованиям, определенным </w:t>
      </w:r>
      <w:hyperlink w:history="0" w:anchor="P56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Министерство в течение 15 рабочих дней со дня регистрации заявления осуществляет проверку на предмет наличия либо отсутствия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размещенном на официальном сайте Федеральной службы по финансовому мониторингу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иностранных агентов, размещенном на официальном сайте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лиц, размещенном на официальном сайте Федеральной налоговой службы в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Получателя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представить документы (сведения), указанные в настоящем пункте, по собственной инициативе при подаче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Субсидия предоставляется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Получателя субсидии требованиям, предусмотренным </w:t>
      </w:r>
      <w:hyperlink w:history="0" w:anchor="P56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регистрирует представленное заявление с прилагаемыми к нему документами в специальном журнале, который должен быть пронумерован, прошнурован и скреплен печатью Министерства, рассматривает и проверяет на соответствие требованиям действующего законодательства и настоящего Порядка указанные документы в течение 15 рабочих дней с даты регистрации заявления и принимает решение о предоставлении субсидии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быть проинформирован о принятом решении в течение пяти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установленным </w:t>
      </w:r>
      <w:hyperlink w:history="0" w:anchor="P66" w:tooltip="2.4. Для получения субсидии Получатель субсидии представляет в Министерство заявление по форме согласно приложению к настоящему Порядку. К заявлению прилагаютс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представленной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субсидии требованиям, определенным </w:t>
      </w:r>
      <w:hyperlink w:history="0" w:anchor="P56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принятия положительного решения Министерство заключает соглашение о предоставлении субсидии (далее - Соглашение). Форма Соглашения утверждается приказом министерства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а также условия, указанные в </w:t>
      </w:r>
      <w:hyperlink w:history="0" w:anchor="P81" w:tooltip="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82" w:tooltip="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">
        <w:r>
          <w:rPr>
            <w:sz w:val="20"/>
            <w:color w:val="0000ff"/>
          </w:rPr>
          <w:t xml:space="preserve">"в"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в течение трех рабочих дней направляет Соглашение Получателю субсидии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Получатель субсидии подписывает и направляет Соглашение в Министерство в течение трех рабочих дней со дня его получения.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Результатом предоставления субсидии является достижение значения мероприятия (результата) "Проведены конкурсы и осуществлена поддержка граждан, социально ориентированных некоммерческих организаций, территориального общественного самоуправления на конкурсной основе".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необходимого для достижения результата предоставления субсидии, устанавливается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 (выполнение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Определение размера субсидии, предоставляемой Получателю субсидии, осуществляется в соответствии с законом Воронежской области об областном бюджете на текущий финансовый год и на плановый период в пределах бюджетных ассигнований, предусмотренных Министерству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Министерством Получателю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Rs = Vi,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сумма грантов, предоставляемых Получателем субсидии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для осуществления финансирования Получателя субсидии направляет в министерство финансов Воронежской области заявку на выделение предельных объемов финансирования с заверенной копией Соглашения между Министерством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мере поступления предельных объемов финансирования Министерство направляет в министерство финансов Воронежской области реестр финансирования на перечисление средств субсидии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Денежные средства в течение 10 рабочих дней со дня поступления предельных объемов финансирования перечисляются с лицевого счета, открытого министерством финансов Воронежской области в Управлении Федерального казначейства по Воронежской области,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Субсидия подлежит возврату в доход областного бюджета в случаях и порядке, которые установлены в </w:t>
      </w:r>
      <w:hyperlink w:history="0" w:anchor="P123" w:tooltip="5. Требования об осуществлении контроля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предоставлению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 до 15-го числа месяца, следующего за отчетным, отчет о расходовании субсидии по форме, определенной типовой формой соглашения, установленной приказом министерства финансов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15-го числа месяца, следующего за годом предоставления субсидии, отчет о достижении значения результата предоставления субсидии по форме, определенной типовой формой соглашения, установленной приказом министерства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осуществляет проверку и принятие отчетов, указанных в настоящем пункте, в срок, не превышающий 20 рабочих дней со дня представления такого отчета.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проведению мониторинга достижения</w:t>
      </w:r>
    </w:p>
    <w:p>
      <w:pPr>
        <w:pStyle w:val="2"/>
        <w:jc w:val="center"/>
      </w:pPr>
      <w:r>
        <w:rPr>
          <w:sz w:val="20"/>
        </w:rPr>
        <w:t xml:space="preserve">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субсидии, указанного в </w:t>
      </w:r>
      <w:hyperlink w:history="0" w:anchor="P95" w:tooltip="2.11. Результатом предоставления субсидии является достижение значения мероприятия (результата) &quot;Проведены конкурсы и осуществлена поддержка граждан, социально ориентированных некоммерческих организаций, территориального общественного самоуправления на конкурсной основе&quot;.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официального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Ответственность за недостоверность сведений, содержащихся в документах, представляемых в Министерство, за несоблюдение условий, установленных настоящим Порядком, несет Получатель субсидии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осуществляет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в соответствии со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Предоставление субсидии Получателю субсидии приостанавливается в случае выявления Министерством факта представления Получателем субсидии отчета, содержащего неполную или недостоверную информацию, до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неиспользовании в отчетном финансовом году средств предоставленной субсидии Получатель субсидии в течение первых 15 рабочих дней по завершении отчетного финансового года в письменной форме уведомляет об этом Министерство с указанием причин образовавшегося остатка.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получения указанного уведомления Министерство принимает решение о наличии потребности в неиспользованных остатках субсидии либо о возврате неиспользованных остатков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Не использованные в отчетном финансовом году остатки субсидии, в отношении которых Министерством принято решение об отсутствии потребности в указанных средствах, подлежат возврату в областной бюджет в течение 10 рабочих дней со дня получения Получателем субсидии соответствующего уведомления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нарушения Получателем субсидии условий и порядка предоставления субсидии, выявленного по фактам проверок, проведенных Министерством и (или) уполномоченным органом государственного финансового контроля, недостижения результата предоставления субсидии Министерство принимает меры по возврату субсидии в областной бюджет и направляет Получателю субсидии требование о возврате субсидии в течение 10 рабочих дней с даты выявления нарушений, получения отчета о недостижении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30 календарных дней с момента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невозврате субсидии в установленный срок Министерство принимает меры по взысканию подлежащей возврату субсидии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условий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"Центр поддержки и продвижения</w:t>
      </w:r>
    </w:p>
    <w:p>
      <w:pPr>
        <w:pStyle w:val="0"/>
        <w:jc w:val="right"/>
      </w:pPr>
      <w:r>
        <w:rPr>
          <w:sz w:val="20"/>
        </w:rPr>
        <w:t xml:space="preserve">общественных, государственных и</w:t>
      </w:r>
    </w:p>
    <w:p>
      <w:pPr>
        <w:pStyle w:val="0"/>
        <w:jc w:val="right"/>
      </w:pPr>
      <w:r>
        <w:rPr>
          <w:sz w:val="20"/>
        </w:rPr>
        <w:t xml:space="preserve">муниципальных инициатив</w:t>
      </w:r>
    </w:p>
    <w:p>
      <w:pPr>
        <w:pStyle w:val="0"/>
        <w:jc w:val="right"/>
      </w:pPr>
      <w:r>
        <w:rPr>
          <w:sz w:val="20"/>
        </w:rPr>
        <w:t xml:space="preserve">Воронежской области "Образ</w:t>
      </w:r>
    </w:p>
    <w:p>
      <w:pPr>
        <w:pStyle w:val="0"/>
        <w:jc w:val="right"/>
      </w:pPr>
      <w:r>
        <w:rPr>
          <w:sz w:val="20"/>
        </w:rPr>
        <w:t xml:space="preserve">Будущего" на проведение конкурсов</w:t>
      </w:r>
    </w:p>
    <w:p>
      <w:pPr>
        <w:pStyle w:val="0"/>
        <w:jc w:val="right"/>
      </w:pPr>
      <w:r>
        <w:rPr>
          <w:sz w:val="20"/>
        </w:rPr>
        <w:t xml:space="preserve">и осуществление поддержки проектов</w:t>
      </w:r>
    </w:p>
    <w:p>
      <w:pPr>
        <w:pStyle w:val="0"/>
        <w:jc w:val="right"/>
      </w:pPr>
      <w:r>
        <w:rPr>
          <w:sz w:val="20"/>
        </w:rPr>
        <w:t xml:space="preserve">граждан,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территориального общественного</w:t>
      </w:r>
    </w:p>
    <w:p>
      <w:pPr>
        <w:pStyle w:val="0"/>
        <w:jc w:val="right"/>
      </w:pPr>
      <w:r>
        <w:rPr>
          <w:sz w:val="20"/>
        </w:rPr>
        <w:t xml:space="preserve">самоуправления на конкурсной основе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9"/>
        <w:gridCol w:w="964"/>
        <w:gridCol w:w="1365"/>
        <w:gridCol w:w="345"/>
        <w:gridCol w:w="3166"/>
      </w:tblGrid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Министру социальной защиты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Воронежской области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bookmarkStart w:id="159" w:name="P159"/>
          <w:bookmarkEnd w:id="15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 (далее - Получатель субсидии) в лице директора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_________________________ от ____________________ кем выдан 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КПП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БИК ____________________________________________ р/сч ________________________________ в ___________________________________ корр/сч ___________________________________________________________________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 деятельности по </w:t>
            </w:r>
      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: 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и расшифровка)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юридического лица: 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директора: 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просит предоставить субсидию из областного бюджета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основе, в сумме ____________ (___________________________________).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соответствие Получателя субсидии требованиям, установленным </w:t>
            </w:r>
            <w:hyperlink w:history="0" w:anchor="P56" w:tooltip="2.3. На дату подачи заявления о предоставлении субсидии Получатель субсидии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 определения объема и условий предоставления субсидии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основе, утвержденного постановлением Правительства Воронежской области от ____________ N 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гарантирую.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Согласен на осуществление проверок министерством социальной защиты Воронежской области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      </w:r>
            <w:hyperlink w:history="0" r:id="rId20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1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 и на включение таких положений в соглашение о предоставлении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33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к заявлению прилагаются документы на ______ л.</w:t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"Центр поддержки и продвижения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общественных, государственных и муниципальных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инициатив Воронежской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"Образ Будущего"</w:t>
            </w:r>
          </w:p>
        </w:tc>
      </w:tr>
      <w:tr>
        <w:tc>
          <w:tcPr>
            <w:gridSpan w:val="2"/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4"/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03.04.2024 N 223</w:t>
            <w:br/>
            <w:t>"Об утверждении Порядка предоставления субсидии автоном...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575" TargetMode = "External"/>
	<Relationship Id="rId8" Type="http://schemas.openxmlformats.org/officeDocument/2006/relationships/hyperlink" Target="https://login.consultant.ru/link/?req=doc&amp;base=LAW&amp;n=461663" TargetMode = "External"/>
	<Relationship Id="rId9" Type="http://schemas.openxmlformats.org/officeDocument/2006/relationships/hyperlink" Target="https://login.consultant.ru/link/?req=doc&amp;base=RLAW181&amp;n=122284" TargetMode = "External"/>
	<Relationship Id="rId10" Type="http://schemas.openxmlformats.org/officeDocument/2006/relationships/hyperlink" Target="https://login.consultant.ru/link/?req=doc&amp;base=RLAW181&amp;n=115796" TargetMode = "External"/>
	<Relationship Id="rId11" Type="http://schemas.openxmlformats.org/officeDocument/2006/relationships/hyperlink" Target="https://login.consultant.ru/link/?req=doc&amp;base=RLAW181&amp;n=122201&amp;dst=3" TargetMode = "External"/>
	<Relationship Id="rId12" Type="http://schemas.openxmlformats.org/officeDocument/2006/relationships/hyperlink" Target="https://login.consultant.ru/link/?req=doc&amp;base=LAW&amp;n=121087&amp;dst=100142" TargetMode = "External"/>
	<Relationship Id="rId13" Type="http://schemas.openxmlformats.org/officeDocument/2006/relationships/hyperlink" Target="https://login.consultant.ru/link/?req=doc&amp;base=LAW&amp;n=471842" TargetMode = "External"/>
	<Relationship Id="rId14" Type="http://schemas.openxmlformats.org/officeDocument/2006/relationships/hyperlink" Target="https://login.consultant.ru/link/?req=doc&amp;base=LAW&amp;n=453958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LAW&amp;n=468900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03.04.2024 N 223
"Об утверждении Порядка предоставления субсидии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конкурсов и осуществление поддержки проектов граждан, социально ориентированных некоммерческих организаций, территориального общественного самоуправления на конкурсной основе"</dc:title>
  <dcterms:created xsi:type="dcterms:W3CDTF">2024-06-16T16:38:42Z</dcterms:created>
</cp:coreProperties>
</file>