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06.04.2023 N 249</w:t>
              <w:br/>
              <w:t xml:space="preserve">"Об утверждении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апреля 2023 г. N 249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ПРОГРАММ (ПРОЕКТОВ)</w:t>
      </w:r>
    </w:p>
    <w:p>
      <w:pPr>
        <w:pStyle w:val="2"/>
        <w:jc w:val="center"/>
      </w:pPr>
      <w:r>
        <w:rPr>
          <w:sz w:val="20"/>
        </w:rPr>
        <w:t xml:space="preserve">В СФЕРЕ КУЛЬТУРЫ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Постановление Правительства Воронежской обл. от 18.12.2013 N 1119 (ред. от 23.03.2023) &quot;Об утверждении государственной программы Воронежской области &quot;Развитие культуры и туризм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18.12.2013 N 1119 "Об утверждении государственной программы Воронежской области "Развитие культуры и туризма"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2023 год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Мосолова О.Н.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06.04.2023 N 249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ПРОГРАММ (ПРОЕКТОВ) В СФЕРЕ КУЛЬТУРЫ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грантов в форме субсидий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сфере культуры, на 2023 год (далее соответственно - Порядок, гранты) определяет цели, условия и порядок предоставления грантов, категории и критерии отбора лиц, имеющих право на получение грантов, порядок возврата грантов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гранты, и органом государственного финансового контроля соблюдения условий и порядка предоставления грантов их получателями.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под программой (проектом) понимается комплекс взаимосвязанных мероприятий, направленных на решение конкретных задач, соответствующих видам деятельности социально ориентированной некоммерческой организации, предусмотренным ее учредительными документами.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грантов является финансовое обеспечение реализации некоммерческими организациями, осуществляющими деятельность в сфере культуры, программ (проектов) в рамках реализации регионального проекта 2.1 "Создание условий для реализации творческого потенциала нации ("Творческие люди")" и комплекса процессных мероприятий 2.5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 подпрограммы 2 "Вовлечение граждан в деятельность в сфере культуры" государственной </w:t>
      </w:r>
      <w:hyperlink w:history="0" r:id="rId10" w:tooltip="Постановление Правительства Воронежской обл. от 18.12.2013 N 1119 (ред. от 23.03.2023) &quot;Об утверждении государственной программы Воронежской области &quot;Развитие культуры и туризм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Воронежской области "Развитие культуры и туризма", утвержденной постановлением Правительства Воронежской области от 18.12.2013 N 1119 "Об утверждении государственной программы Воронежской области "Развитие культуры и туризма".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Воронежской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грантов, является департамент культуры Воронежской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осуществляется в соответствии со сводной бюджетной росписью в пределах бюджетных ассигнований, предусмотренных </w:t>
      </w:r>
      <w:hyperlink w:history="0" r:id="rId11" w:tooltip="Закон Воронежской области от 19.12.2022 N 119-ОЗ (ред. от 13.03.2023) &quot;Об областном бюджете на 2023 год и на плановый период 2024 и 2025 годов&quot; (принят Воронежской областной Думой 1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19.12.2022 N 119-ОЗ "Об областном бюджете на 2023 год и на плановый период 2024 и 2025 годов", на цели, указанные в настоящем Порядке.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 на получение грантов имеют некоммерческие организации (далее - участники отбора, получатели грантов), одновременно отвечающие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участник отбора поставлен на учет в налоговых органах на территории Воронежской области и осуществляет в соответствии со своими учредительными документами деятельность в области культуры, предусмотренную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13" w:tooltip="Закон Воронежской области от 06.10.2011 N 134-ОЗ (ред. от 27.04.2021) &quot;О государственной (областной) поддержке социально ориентированных некоммерческих организаций в Воронежской области&quot; (принят Воронежской областной Думой 29.09.2011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Воронежской области от 06.10.2011 N 134-ОЗ "О государственной (областной) поддержке социально ориентированных некоммерческих организаций в Воронежской области",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участник отбора не имеет учредителя, являющегося государственным органом, органом местного самоуправления или публично-правовым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программа (проект) участника отбора планируется к реализации на территории Воронежской области по одному или нескольким из следующих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сохранение, создание, распространение и освоение культурных ценностей в сфере музыкального, театрального искусства, изобразительного искусства, киноискусства, литературы, за исключением книгоиздательской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для предоставления грантов является конкурс, который проводится при определении получателя гранта исходя из наилучших условий достижения результатов, в целях достижения которых предоставляются гранты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Воронежской области об областном бюджете на финансовый год и на плановый период (закона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грантах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грантов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размещается Департаментом на Едином портале, а также в информационной системе "Портал Воронежской области в сети Интернет" на странице Департамента не позднее 1 декабря 2023 года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адреса,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грантов в соответствии с </w:t>
      </w:r>
      <w:hyperlink w:history="0" w:anchor="P181" w:tooltip="3.10. Результатом предоставления гранта является количество посещений культурных мероприятий программы (проекта) на 31 декабря 2025 года.">
        <w:r>
          <w:rPr>
            <w:sz w:val="20"/>
            <w:color w:val="0000ff"/>
          </w:rPr>
          <w:t xml:space="preserve">пунктом 3.10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в соответствии с </w:t>
      </w:r>
      <w:hyperlink w:history="0" w:anchor="P71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78" w:tooltip="2.3.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79" w:tooltip="2.4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(далее - заявка)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 в соответствии с </w:t>
      </w:r>
      <w:hyperlink w:history="0" w:anchor="P94" w:tooltip="2.8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- посредством межведомственного запроса, в том числе в электронной форме с использованием единой системы межведомственного электронного вза...">
        <w:r>
          <w:rPr>
            <w:sz w:val="20"/>
            <w:color w:val="0000ff"/>
          </w:rPr>
          <w:t xml:space="preserve">пунктами 2.8</w:t>
        </w:r>
      </w:hyperlink>
      <w:r>
        <w:rPr>
          <w:sz w:val="20"/>
        </w:rPr>
        <w:t xml:space="preserve"> - </w:t>
      </w:r>
      <w:hyperlink w:history="0" w:anchor="P107" w:tooltip="2.10. Принятые заявки с прилагаемыми к ним документами подлежат оценке по критериям, установленным в приложении N 3 к настоящему Порядку (далее - критерии оценки), в течение 20 рабочих дней с даты окончания приема заявок посредством выставления баллов по каждому критерию.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должен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максимального размера гранта, предоставляемого одной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портале, а также в информационной системе "Портал Воронежской области в сети Интернет" на странице Департамента,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для размещения объявления направляется Департаментом в срок не позднее 1 рабочего дня с даты его размещения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участник отбора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 отбора не должен получать средства из бюджета Воронежской области на основании иных нормативных правовых актов Воронежской области на цели, установленные </w:t>
      </w:r>
      <w:hyperlink w:history="0" w:anchor="P39" w:tooltip="1.3. Целью предоставления грантов является финансовое обеспечение реализации некоммерческими организациями, осуществляющими деятельность в сфере культуры, программ (проектов) в рамках реализации регионального проекта 2.1 &quot;Создание условий для реализации творческого потенциала нации (&quot;Творческие люди&quot;)&quot; и комплекса процессных мероприятий 2.5 &quot;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конкурсе участник отбора представляет в Департамент в срок, установленный Департаментом в объявлении о проведении отбора, </w:t>
      </w:r>
      <w:hyperlink w:history="0" w:anchor="P223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(далее - заявка) по форме согласно приложению N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документа, подтверждающего полномочия руководителя участника отбора (копию решения о назначении или об избрании), или документа, подтверждающего полномочия лица на подачу заявки от имени участника отбора, в случае,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действующих редакций учредительных документов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279" w:tooltip="Паспорт программы (проекта)">
        <w:r>
          <w:rPr>
            <w:sz w:val="20"/>
            <w:color w:val="0000ff"/>
          </w:rPr>
          <w:t xml:space="preserve">паспорта</w:t>
        </w:r>
      </w:hyperlink>
      <w:r>
        <w:rPr>
          <w:sz w:val="20"/>
        </w:rPr>
        <w:t xml:space="preserve"> программы (проекта)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подписываются руководителем некоммерческой организации (иным лицом, уполномоченным действовать от имени некоммерческой организации), скрепляются печатью некоммерческой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включенная в состав заявки, содержит персональные данные, в состав заявки должны быть включены согласия субъектов этих данных на их обработку в соответствии с типовой формой, утвержденной Департаментом. В противном случае включение в состав заявки информации, содержащей персональные данные,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Кроме документов, указанных в </w:t>
      </w:r>
      <w:hyperlink w:history="0" w:anchor="P79" w:tooltip="2.4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(далее - заявка)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участник отбора вправе приложить к заявке дополнительные документы и материалы о своей деятельности, в том числе информацию о ранее реализованных программах (проектах).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может представить в составе заявки 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(далее - справка). В случае непредставления участником отбора справки Департамент запрашивает необходимую информацию самостоятельно посредством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Ответственный сотрудник Департамента регистрирует поступившие заявки в журнале регистрации в день их поступления путем присвоения каждой заявке в порядке очередности их поступления порядкового номера, указания даты и времени приема заявки. Журнал регистрации заявок должен быть пронумерован, прошнурован и скреплен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и временем подачи заявки являются дата и время регистрации заявки, указанные в журнале регистрации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Отозванная участником отбора заявка возвращается Департаментом в течение 3 рабочих дней со дня поступления соответствующего обращения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 отбора являются дата и номер регистрации уточненной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-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отклонения заявки участника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документов, предусмотренных </w:t>
      </w:r>
      <w:hyperlink w:history="0" w:anchor="P79" w:tooltip="2.4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(далее - заявка)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или представление недостоверных сведений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установленным </w:t>
      </w:r>
      <w:hyperlink w:history="0" w:anchor="P71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78" w:tooltip="2.3.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видов деятельности участника отбора, предусмотренных ее учредительными документами, содержанию программы (проекта), представленной для получения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участника отбора содержит запрашиваемую сумму грантов, превышающую максимальный размер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заявки участника отбора на стадии рассмотрения и оценки заявки принимается не позднее 3 рабочих дней, следующих за днем истечения срока ее рассмотрения в соответствии с </w:t>
      </w:r>
      <w:hyperlink w:history="0" w:anchor="P94" w:tooltip="2.8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- посредством межведомственного запроса, в том числе в электронной форме с использованием единой системы межведомственного электронного вза..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заявок участников отбора оформляется приказом Департамента с указанием оснований отклонения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отбора, заявки которых отклонены, должны быть проинформированы о принятом решении в течение 5 дней со дня издания соответствующего приказа.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Принятые заявки с прилагаемыми к ним документами подлежат оценке по </w:t>
      </w:r>
      <w:hyperlink w:history="0" w:anchor="P368" w:tooltip="Критерии оценки программ (проектов)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в приложении N 3 к настоящему Порядку (далее - критерии оценки), в течение 20 рабочих дней с даты окончания приема заявок посредством выставления баллов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с наибольшего к меньшему. В случае равного количества набранных баллов позиция в рейтинге определяется с учетом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 целью проведения оценки представленных участниками отбора программ (проектов) создается комиссия по рассмотрению заявок и оценке программ (проектов) участников отбора для предоставления грантов (далее - комиссия), состав которой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создается в составе не менее 9 человек. Число членов комиссии должно быть нечетным.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комиссии могут быть представители государственных (муниципальных) учреждений и общественных организаций (объединений), осуществляющих деятельность в сфере культуры и искусства, образовательных и научных организаций, обладающих познаниями в сфере культуры и искусства, Общественного совета при Департаменте, а также сотрудники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организационное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программ (проектов) участников отбора осуществляется комиссией на ее заседаниях в соответствии с </w:t>
      </w:r>
      <w:hyperlink w:history="0" w:anchor="P107" w:tooltip="2.10. Принятые заявки с прилагаемыми к ним документами подлежат оценке по критериям, установленным в приложении N 3 к настоящему Порядку (далее - критерии оценки), в течение 20 рабочих дней с даты окончания приема заявок посредством выставления баллов по каждому критерию.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при условии присутствия на них не менее двух третей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Информация о результатах рассмотрения заявок размещается на Едином портале, а также в информационной системе "Портал Воронежской области в сети Интернет" на странице Департамента не позднее 3 рабочих дней, следующих за днем утверждения протокола заседания комиссии,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грантов, с которым заключается соглашение, и размер предоставляемых ему грантов.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0"/>
        <w:ind w:firstLine="540"/>
        <w:jc w:val="both"/>
      </w:pPr>
      <w:r>
        <w:rPr>
          <w:sz w:val="20"/>
        </w:rPr>
        <w:t xml:space="preserve">3.1. Гранты предоставляются в целях финансового обеспечения следующих расходов, связанных с реализацией программы (проекта) в сфере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штатных работников, участвующих в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основных средств и программного обеспечения для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аренда помещений, оборудования для проведения мероприятий в соответствии с программой (проектом);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 в рамках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канцелярских товаров и расходных материалов на реализацию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связи в рамках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издательские расходы в рамках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вознаграждения лицам, привлекаемым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 в рамках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расходы, связанные с реализацией мероприятий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 допускается расходование грантов на финансирование следующих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материальной помощи, а также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предпринимательской деятельности и оказание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деятельности, напрямую не связанной с реализацией программ (проектов), указанных в </w:t>
      </w:r>
      <w:hyperlink w:history="0" w:anchor="P39" w:tooltip="1.3. Целью предоставления грантов является финансовое обеспечение реализации некоммерческими организациями, осуществляющими деятельность в сфере культуры, программ (проектов) в рамках реализации регионального проекта 2.1 &quot;Создание условий для реализации творческого потенциала нации (&quot;Творческие люди&quot;)&quot; и комплекса процессных мероприятий 2.5 &quot;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фундаментальных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пеней,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 счет предоставленного гранта участник отбора не вправе осуществлять расходы, которые не имеют прямого и непосредственного отношения к реализации мероприятий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Максимальный размер гранта, предоставляемого одному участнику отбора по итогам проведения конкурса, не может превышать 50% от общего объема средств, утвержденных Департаменту для предоставления грантов в областном бюджете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содержащие запрашиваемый размер грантов, превышающий максимальный размер грантов, к участию в отборе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при условии софинансирования получателями грантов расходов, связанных с реализацией программы (проекта) в сфере культуры, в размере не менее 10% от размера расходов, предусмотренных на реализацию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гранта, предоставляемого получателю гранта,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 = (V1 + V2 + V3 + V4 + V5 + V6 + V7 + V8 + V9 + V10 + V11) x (1 - Dсс),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 - объем гранта, предоставляемых победителю отбора,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Dсс - доля средств, привлеченных участником отбора для реализации программы (проекта), в общем объеме средств, необходимых для реализации программы (проекта) в соответствии с поданной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V1 - объем средств, которые будут направлены на оплату труда штатных работников, участвующих в реализации программы (проекта),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V2 - объем средств, которые в рамках реализации программы (проекта) будут направлены на приобретение основных средств и программного обеспечения,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V3 - объем средств, которые в рамках реализации программы (проекта) будут направлены на аренду помещений, оборудования для проведения мероприятий,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V4 - объем средств, которые в рамках реализации программы (проекта) будут направлены на оплату коммунальных услуг,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V5 - объем средств, которые в рамках реализации программы (проекта) будут направлены на приобретение канцелярских товаров и расходных материалов,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V6 - объем средств, которые в рамках реализации программы (проекта) будут направлены на оплату услуг связи,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V7 - объем средств, которые в рамках реализации программы (проекта) будут направлены на издательские расходы,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V8 - объем средств, которые в рамках реализации программы (проекта) будут направлены на вознаграждения лицам, привлекаемым по гражданско-правовым договорам,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V9 - объем средств, которые в рамках реализации программы (проекта) будут направлены на командировочные расходы,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V10 - объем средств, которые в рамках реализации программы (проекта) будут направлены на уплату налогов, сборов, страховых взносов и иных обязательных платежей в бюджетную систему Российской Федерации,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V11 - объем средств, которые будут направлены на прочие расходы, связанные с реализацией мероприятий программы (проекта),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Расчет и распределение грантов осуществляются комиссией в соответствии с рейтингом участников отбора, начиная с верхней позиции, и отражаются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протокола заседания комиссии Департамент издает приказ о предоставлении грантов, содержащий сведения о получателях грантов и размерах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(за исключением участников отбора, заявки которых отклонены) должны быть проинформированы о принятом решении в течение 5 дней со дня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Основаниями для отказа участнику отбора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определенным </w:t>
      </w:r>
      <w:hyperlink w:history="0" w:anchor="P42" w:tooltip="1.5. Право на получение грантов имеют некоммерческие организации (далее - участники отбора, получатели грантов), одновременно отвечающие следующим критериям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71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w:anchor="P78" w:tooltip="2.3.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представленных участником отбора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получателя гранта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уклонение получателя гранта от заключения соглашения в срок, установленный </w:t>
      </w:r>
      <w:hyperlink w:history="0" w:anchor="P178" w:tooltip="3.9. Департамент в течение 15 рабочих дней со дня издания приказа о предоставлении грантов заключает с получателем гранта соглашение в соответствии с типовой формой соглашения, утвержденной департаментом финансов Воронежской области.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лимитов бюджетных обязательств на предоставление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нарушения получателем гранта условий предоставления грантов грант подлежит возврату в областной бюджет в порядке и сроки, которые установлены </w:t>
      </w:r>
      <w:hyperlink w:history="0" w:anchor="P205" w:tooltip="5.4. Возврат остатков гранта, не использованного по истечении срока освоения гранта, осуществляется в порядке, установленном бюджетным законодательством Российской Федерации, в течение 30 календарных дней со дня истечения указанного срока.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Порядка.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Департамент в течение 15 рабочих дней со дня издания приказа о предоставлении грантов заключает с получателем гранта соглашение в соответствии с типовой формой соглашения, утвержденной департаментом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или при необходимости расторжение соглашения осуществляется по соглашению сторон и оформляется в виде дополнительного соглашения к нему, являющегося его неотъемлемой частью, в соответствии с типовой формой, установленной департаментом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гранта в вышеназванный срок не подписал соглашение, получатель гранта признается уклонившимся от его заключения.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гранта является количество посещений культурных мероприятий программы (проекта) на 31 декабря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(значения) результатов предоставления гранта устанавливается Департаментом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Перечисление грантов в форме субсидий осуществляется Департаментом в соответствии с заключенным соглашением и с учетом положений, установленных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Срок перечисления гранта составляет не более 45 календарных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Получателю гранта, а также иным юридическим лицам, получающим средства на основании договоров, заключенных с получателем гранта в целях исполнения обязательств по соглашению, за счет грантов, предусмотренных настоящим Порядком,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Получатель гранта, а также лица, получающие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осуществление в отношении них проверки Департаментом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даче согласия на проведение указанных проверок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Получатель гранта обязуется не допускать образования неисполненной обязанности по уплате налогов, сборов, страховых взносов в течение всего периода получения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гранта представляет в Департамент отчет о достижении значений результата предоставления гранта и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департаментом финансов Воронежской области, и предоставляет информацию об отсутствии задолженности по уплате налогов, сборов, страховых взносов в течение всего периода получения гранта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- в срок до 20-го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весь период реализации программы (проекта) - не позднее 15 рабочих дней с даты окончания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вправе устанавливать в соглашении сроки и формы предоставления получателем гранта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гранта несет ответственность за достоверность сведений, содержащихся в отчетных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грантов 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Контроль за целевым использованием грантов получателями грантов осуществляет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Департамент осуществляет проверку соблюдения получателем гранта порядка и условий предоставления гранта, в том числе в части достижения результата предоставления гранта, а органы государственного финансового контроля осуществляют проверки в соответствии со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Ответственность за нецелевое использование предоставленного гранта, недостоверность сведений, содержащихся в документах, несет получатель гранта в соответствии с действующим законодательством.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 остатков гранта, не использованного по истечении срока освоения гранта, осуществляется в порядке, установленном бюджетным законодательством Российской Федерации, в течение 30 календарных дней со дня истечения указанного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нарушения получателем гранта условий, установленных при предоставлении гранта, выявленного в том числе по фактам проверок, проведенных Департаментом и органами государственного финансового контроля, а также в случае недостижения значения результата предоставления гранта средства гранта подлежат возврату в доход областного бюджета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получателем гранта значения результата предоставления гранта грант подлежит возврату в доход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нарушения условий, установленных при предоставлении гранта, Департамент принимает меры по возврату гранта посредством направления получателю гранта требования о возврате гранта в течение 10 рабочих дней с даты выявления нарушения. Грант подлежит возврату в областной бюджет в течение 30 календарных дней с даты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гранта в установленный срок Департамент принимает меры по взысканию подлежащего возврату гранта в областной бюджет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программ (проектов)</w:t>
      </w:r>
    </w:p>
    <w:p>
      <w:pPr>
        <w:pStyle w:val="0"/>
        <w:jc w:val="right"/>
      </w:pPr>
      <w:r>
        <w:rPr>
          <w:sz w:val="20"/>
        </w:rPr>
        <w:t xml:space="preserve">в сфере культуры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644"/>
        <w:gridCol w:w="340"/>
        <w:gridCol w:w="3256"/>
      </w:tblGrid>
      <w:tr>
        <w:tc>
          <w:tcPr>
            <w:gridSpan w:val="4"/>
            <w:tcW w:w="9038" w:type="dxa"/>
            <w:tcBorders>
              <w:top w:val="nil"/>
              <w:left w:val="nil"/>
              <w:bottom w:val="nil"/>
              <w:right w:val="nil"/>
            </w:tcBorders>
          </w:tcPr>
          <w:bookmarkStart w:id="223" w:name="P223"/>
          <w:bookmarkEnd w:id="22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отборе на предоставление грантов в форме субсидий социально ориентированным некоммерческим организациям на реализацию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 (проектов) в сфере культуры на 2023 год</w:t>
            </w:r>
          </w:p>
        </w:tc>
      </w:tr>
      <w:tr>
        <w:tc>
          <w:tcPr>
            <w:gridSpan w:val="4"/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w:anchor="P29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2023 год 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лица)</w:t>
            </w:r>
          </w:p>
          <w:p>
            <w:pPr>
              <w:pStyle w:val="0"/>
            </w:pPr>
            <w:r>
              <w:rPr>
                <w:sz w:val="20"/>
              </w:rPr>
              <w:t xml:space="preserve">в лице ___________________________________________________________________,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 ________________________________________________,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направляет документы для участия в отборе на предоставление грантов в форме субсидий социально ориентированным некоммерческим организациям на реализацию программ (проектов) в сфере культуры.</w:t>
            </w:r>
          </w:p>
        </w:tc>
      </w:tr>
      <w:tr>
        <w:tc>
          <w:tcPr>
            <w:gridSpan w:val="4"/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Документ, подтверждающий факт внесения записи в единый государственный реестр юридических лиц: N _______ от 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Кем выдан 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(ОГРНИП) 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государственной регистрации 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 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р/сч N ______________________________ в 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корр/сч 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нахождения 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Почтовый адрес для направления корреспонденции 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электронной почты 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 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грант в размере ___________________________ на финансовое обеспечение реализации программы (проекта) в сфере культуры "________________________________________________________________________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________________________________________________________________________".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программы (проекта))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 (полностью))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подтверждаю, что 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соответствует критериям и требованиям, установленным </w:t>
            </w:r>
            <w:hyperlink w:history="0" w:anchor="P42" w:tooltip="1.5. Право на получение грантов имеют некоммерческие организации (далее - участники отбора, получатели грантов), одновременно отвечающие следующим критериям:">
              <w:r>
                <w:rPr>
                  <w:sz w:val="20"/>
                  <w:color w:val="0000ff"/>
                </w:rPr>
                <w:t xml:space="preserve">пунктами 1.5</w:t>
              </w:r>
            </w:hyperlink>
            <w:r>
              <w:rPr>
                <w:sz w:val="20"/>
              </w:rPr>
              <w:t xml:space="preserve">, </w:t>
            </w:r>
            <w:hyperlink w:history="0" w:anchor="P71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w:anchor="P78" w:tooltip="2.3.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2023 год.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 актуальность и подлинность документов, представленных в составе настоящей заявки, и не возражаю против доступа к ней лиц, участвующих в рассмотрении документов на предоставление государственной поддержки.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осуществление департаментом культуры Воронежской области и органами государственного финансового контроля проверок соблюдения условий, целей и порядка предоставления грантов.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о (об) 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лица/индивидуального предпринимателя)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как участнике отбора на предоставление грантов в форме субсидий социально ориентированным некоммерческим организациям на реализацию программ (проектов) в сфере культуры, о подаваемой мной заявке и иной информации, связанной с соответствующим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установленным порядком к заявке прилагаются документы на _____ л. в _____ экз.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отбора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(Ф.И.О)</w:t>
            </w:r>
          </w:p>
        </w:tc>
      </w:tr>
      <w:tr>
        <w:tc>
          <w:tcPr>
            <w:gridSpan w:val="4"/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программ (проектов)</w:t>
      </w:r>
    </w:p>
    <w:p>
      <w:pPr>
        <w:pStyle w:val="0"/>
        <w:jc w:val="right"/>
      </w:pPr>
      <w:r>
        <w:rPr>
          <w:sz w:val="20"/>
        </w:rPr>
        <w:t xml:space="preserve">в сфере культуры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3089"/>
        <w:gridCol w:w="1814"/>
        <w:gridCol w:w="426"/>
        <w:gridCol w:w="595"/>
        <w:gridCol w:w="2438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79" w:name="P279"/>
          <w:bookmarkEnd w:id="279"/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 программы (проекта)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I. Общая характеристика программы (проекта)</w:t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 (проекта)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программы (проекта)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Инициатор программы (проекта)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реализации программы (проекта) (количество месяцев)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 программы (проекта)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 программы (проекта)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Общие расходы по программе (проекту), тыс. рублей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за счет: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собственных средств, включая заемные средства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 грантов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группа (категории благополучателей, их количество)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6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II. Описание проблемы, на решение которой направлена программа (проект), и обоснование ее актуальности (не более 1 - 2 страниц):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характеристика текущей ситуации;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обоснование необходимости реализации программы (проекта) (актуальность), общественная значимость;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круг лиц, которых касается решаемая проблема;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ожидаемые результаты, которые планируется достичь в ходе реализации программы (проекта);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дальнейшее развитие программы (проекта), распространение опыта.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III. Содержание программы (проекта):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этапы реализации программы (проекта);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основные планируемые виды деятельности (работ, услуг) в рамках реализации программы (проекта);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планируемые (предполагаемые) расходы в рамках реализации программы (проекта) за счет средств грантов в соответствии с </w:t>
            </w:r>
            <w:hyperlink w:history="0" w:anchor="P127" w:tooltip="3.1. Гранты предоставляются в целях финансового обеспечения следующих расходов, связанных с реализацией программы (проекта) в сфере культуры:">
              <w:r>
                <w:rPr>
                  <w:sz w:val="20"/>
                  <w:color w:val="0000ff"/>
                </w:rPr>
                <w:t xml:space="preserve">пунктом 3.1</w:t>
              </w:r>
            </w:hyperlink>
            <w:r>
              <w:rPr>
                <w:sz w:val="20"/>
              </w:rPr>
              <w:t xml:space="preserve">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2023 год: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3"/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gridSpan w:val="2"/>
            <w:tcW w:w="3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(рублей)</w:t>
            </w:r>
          </w:p>
        </w:tc>
      </w:tr>
      <w:tr>
        <w:tc>
          <w:tcPr>
            <w:tcW w:w="709" w:type="dxa"/>
          </w:tcPr>
          <w:p>
            <w:pPr>
              <w:pStyle w:val="0"/>
              <w:ind w:firstLine="709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ind w:firstLine="709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ind w:firstLine="709"/>
            </w:pPr>
            <w:r>
              <w:rPr>
                <w:sz w:val="20"/>
              </w:rPr>
              <w:t xml:space="preserve">.</w:t>
            </w:r>
          </w:p>
        </w:tc>
        <w:tc>
          <w:tcPr>
            <w:gridSpan w:val="3"/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038" w:type="dxa"/>
          </w:tcPr>
          <w:p>
            <w:pPr>
              <w:pStyle w:val="0"/>
              <w:ind w:firstLine="709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2"/>
            <w:tcW w:w="30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6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- планируемые (предполагаемые) расходы в рамках реализации программы (проекта) за счет собственных средств (софинансирование):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3"/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gridSpan w:val="2"/>
            <w:tcW w:w="3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(рублей)</w:t>
            </w:r>
          </w:p>
        </w:tc>
      </w:tr>
      <w:tr>
        <w:tc>
          <w:tcPr>
            <w:tcW w:w="709" w:type="dxa"/>
          </w:tcPr>
          <w:p>
            <w:pPr>
              <w:pStyle w:val="0"/>
              <w:ind w:firstLine="709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ind w:firstLine="709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ind w:firstLine="709"/>
            </w:pPr>
            <w:r>
              <w:rPr>
                <w:sz w:val="20"/>
              </w:rPr>
              <w:t xml:space="preserve">.</w:t>
            </w:r>
          </w:p>
        </w:tc>
        <w:tc>
          <w:tcPr>
            <w:gridSpan w:val="3"/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038" w:type="dxa"/>
          </w:tcPr>
          <w:p>
            <w:pPr>
              <w:pStyle w:val="0"/>
              <w:ind w:firstLine="709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2"/>
            <w:tcW w:w="30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отбора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3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МП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программ (проектов)</w:t>
      </w:r>
    </w:p>
    <w:p>
      <w:pPr>
        <w:pStyle w:val="0"/>
        <w:jc w:val="right"/>
      </w:pPr>
      <w:r>
        <w:rPr>
          <w:sz w:val="20"/>
        </w:rPr>
        <w:t xml:space="preserve">в сфере культуры на 2023 год</w:t>
      </w:r>
    </w:p>
    <w:p>
      <w:pPr>
        <w:pStyle w:val="0"/>
        <w:jc w:val="both"/>
      </w:pPr>
      <w:r>
        <w:rPr>
          <w:sz w:val="20"/>
        </w:rPr>
      </w:r>
    </w:p>
    <w:bookmarkStart w:id="368" w:name="P368"/>
    <w:bookmarkEnd w:id="368"/>
    <w:p>
      <w:pPr>
        <w:pStyle w:val="2"/>
        <w:jc w:val="center"/>
      </w:pPr>
      <w:r>
        <w:rPr>
          <w:sz w:val="20"/>
        </w:rPr>
        <w:t xml:space="preserve">Критерии оценки программ (проектов)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 из бюджета Воронежской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6746"/>
        <w:gridCol w:w="1757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заявок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по результатам рассмотрения заявки (баллов)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значимость проекта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убедительно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показателями, в том числе обеспечивающими достижение целей, показателей и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направлен в полной мере на решение именно тех проблем, которые обозначены как значимые;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мероприятия проекта полностью соответствуют грантовым направлениям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в целом доказаны,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доказаны недостаточно убедительно: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проблема не имеет острой значимости для целевой группы или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не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проблема, которой посвящен проект, не относится к разряду востребованных обществом либо слабо обоснована авторами;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большая часть мероприятий проекта не связана с выбранным грантовым направлением;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план хорошо структурирован, детализирован, содержит описание конкретных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указаны конкретные и разумные сроки, позволяющие в полной мере решить задачи проекта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данному критерию проект в целом проработан,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устранимые нарушения логической связи между задачами, мероприятиями и предполагаемыми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является инновационным, уникальным: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имеет признаки инновационности, уникальности, но эти признаки несущественно влияют на его ожидаемые результаты: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есть ресурсы и опыт, чтобы успешно внедрить описанные инновации;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практически не имеет признаков инновационности, уникальности: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практики и методики, указанные в заявке, не являются инновационными;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является инновационным, уникальным: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по сути является продолжением уже осуществляемой (ранее осуществлявшейся) деятельности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результаты могут быть достигнуты при меньших затратах;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ожидаемые результаты проекта изложены неконкретно;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предполагаемые затраты на достижение результатов проекта явно завышены;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описанная в заявке деятельность является по сути предпринимательской;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планируемые расходы реалистичны и обоснованны;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даны корректные комментарии по всем предполагаемым расходам за счет грантов, позволяющие четко определить состав (детализацию) расходов;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предусмотрено активное использование имеющихся у организации ресурсов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планируемые расходы реалистичны, следуют из задач, мероприятий и обоснованны, вместе с тем из комментариев к некоторым расходам невозможно точно определить их состав (детализацию);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 все предполагаемые расходы непосредственно связаны с мероприятиями проекта и достижением ожидаемых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бюджете проекта предусмотрены побочные, не имеющие прямого отношения к реализации проекта, расходы;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обоснование некоторых запланированных расходов не позволяет оценить их взаимосвязь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бюджете проекта предусмотрено осуществление за счет грантов расходов, которые не допускаются в соответствии с требованиями положения о конкурсе;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бюджет проекта нереалистичен, не соответствует тексту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бюджет проекта не соответствует целевому характеру грантов,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несоответствия между суммами в описании проекта и в его бюджете;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комментарии к запланированным расходам неполные, некорректные, нелогичные;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отлично: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хорошо: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удовлетворительно: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плохо: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заявленная территория реализации проекта не подтверждается содержанием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 доказано взаимодействие с территориями, обозначенными в заявке;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более 15% бюджета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превышает 50% бюджета проекта (не суммы грантов,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организацией представлено четкое видение дальнейшего развития деятельности по проекту и использования его результатов после завершения грантовой поддержки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от 10 до 15% бюджета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25 до 50% бюджета проекта, при этом он в целом корректно рассчитан;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в целом описаны механизмы дальнейшего развития проекта, источники ресурсного обеспечения после завершения грантовой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ресурсы на реализацию проекта не подтверждены и (или) несоразмерны с запрашиваемой суммой грантов: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5 до 10%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продолжение реализации проекта после окончания финансирования описано общими фразами;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предполагается практически только за счет грантов: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не более 5% бюджета проекта либо заявлен в большем объеме, но ничем не подтвержден;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отсутствует описание работы по выбранному направлению после завершения грантовой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отличный опыт проектной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устойчивой активной деятельности по выбранному грантовому направлению на протяжении более 5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есть материально-техническая база для реализации проектов по выбранному грантовому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хороший опыт проектной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имеется сопоставимый с содержанием заявки опыт системной и устойчивой проектной деятельности по выбранному грантовому направлению (по масштабу и количеству мероприятий);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удовлетворительный опыт проектной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приведено описание собственного опыта организации по реализации программ, проектов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реализации менее масштабных проектов по выбранному грантовому направлению и не имеет опыта работы с соизмеримыми (с запрашиваемой суммой грантов) объемами целевых средств;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управления соизмеримыми (с запрашиваемой суммой грантов)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практически отсутствует опыт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не имеет опыта активной деятельности либо подтвержденной деятельности за последний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опыт проектной работы организации в заявке практически не описан;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основной профиль деятельности организации не соответствует выбранному грантовому направлению;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описание команды проекта, ее квалификации, опыта работы в заявке практически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высокие риски реализации проекта в силу недостаточности опыта и низкой квалификации команды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информацию о деятельности организации легко найти в Интернете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организации систематически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страницы (группы) в социальных сетях, на которых регулярно обновляется информация;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регулярно публикует годовую отчетность о своей деятельности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информацию о деятельности организации легко найти в Интернете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организации периодически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организации мало освещается в средствах массовой информации и в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отчеты о деятельности организации отсутствуют в открытом доступе;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информация о деятельности организации практически отсутствует в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06.04.2023 N 249</w:t>
            <w:br/>
            <w:t>"Об утверждении Порядка предоставления грантов в форме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FE2B23908558D64339FB41BDD7D816D8CA30C8495161A6FDD9736A7DABD8D484EE470F8F402826FF9C2E3FABF29593D149A4F91931HCj9M" TargetMode = "External"/>
	<Relationship Id="rId8" Type="http://schemas.openxmlformats.org/officeDocument/2006/relationships/hyperlink" Target="consultantplus://offline/ref=54FE2B23908558D64339FB41BDD7D816D8CA37C9425061A6FDD9736A7DABD8D484EE470A8842787CEF98676BA4ED978BCF4DBAF9H1jAM" TargetMode = "External"/>
	<Relationship Id="rId9" Type="http://schemas.openxmlformats.org/officeDocument/2006/relationships/hyperlink" Target="consultantplus://offline/ref=54FE2B23908558D64339E54CABBB8713DDC26CC74B506FF6A385753D22FBDE81C4AE415FD90D7920AACF746AA0ED958DD3H4jCM" TargetMode = "External"/>
	<Relationship Id="rId10" Type="http://schemas.openxmlformats.org/officeDocument/2006/relationships/hyperlink" Target="consultantplus://offline/ref=54FE2B23908558D64339E54CABBB8713DDC26CC74B506FF6A385753D22FBDE81C4AE415FCB0D212FA0993B2EF3FE968FCF4FBCE51B33C8H4j4M" TargetMode = "External"/>
	<Relationship Id="rId11" Type="http://schemas.openxmlformats.org/officeDocument/2006/relationships/hyperlink" Target="consultantplus://offline/ref=54FE2B23908558D64339E54CABBB8713DDC26CC74B506FF5A38C753D22FBDE81C4AE415FD90D7920AACF746AA0ED958DD3H4jCM" TargetMode = "External"/>
	<Relationship Id="rId12" Type="http://schemas.openxmlformats.org/officeDocument/2006/relationships/hyperlink" Target="consultantplus://offline/ref=54FE2B23908558D64339FB41BDD7D816D8CA36C24B5961A6FDD9736A7DABD8D484EE470A8B4D2779FA893F67A7F1898DD751B8FB1BH3j0M" TargetMode = "External"/>
	<Relationship Id="rId13" Type="http://schemas.openxmlformats.org/officeDocument/2006/relationships/hyperlink" Target="consultantplus://offline/ref=54FE2B23908558D64339E54CABBB8713DDC26CC74B5168F8A68F753D22FBDE81C4AE415FCB0D212CABCD6A69A5F8C3DC951AB7FA1B2DCA41D28409FCH0j7M" TargetMode = "External"/>
	<Relationship Id="rId14" Type="http://schemas.openxmlformats.org/officeDocument/2006/relationships/hyperlink" Target="consultantplus://offline/ref=54FE2B23908558D64339FB41BDD7D816D8CA30C8495161A6FDD9736A7DABD8D484EE47088F492826FF9C2E3FABF29593D149A4F91931HCj9M" TargetMode = "External"/>
	<Relationship Id="rId15" Type="http://schemas.openxmlformats.org/officeDocument/2006/relationships/hyperlink" Target="consultantplus://offline/ref=54FE2B23908558D64339FB41BDD7D816D8CA30C8495161A6FDD9736A7DABD8D484EE47088F4B2E26FF9C2E3FABF29593D149A4F91931HCj9M" TargetMode = "External"/>
	<Relationship Id="rId16" Type="http://schemas.openxmlformats.org/officeDocument/2006/relationships/hyperlink" Target="consultantplus://offline/ref=54FE2B23908558D64339FB41BDD7D816D8CA30C8495161A6FDD9736A7DABD8D484EE47088F492826FF9C2E3FABF29593D149A4F91931HCj9M" TargetMode = "External"/>
	<Relationship Id="rId17" Type="http://schemas.openxmlformats.org/officeDocument/2006/relationships/hyperlink" Target="consultantplus://offline/ref=54FE2B23908558D64339FB41BDD7D816D8CA30C8495161A6FDD9736A7DABD8D484EE47088F4B2E26FF9C2E3FABF29593D149A4F91931HCj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06.04.2023 N 249
"Об утверждении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2023 год"</dc:title>
  <dcterms:created xsi:type="dcterms:W3CDTF">2023-06-12T12:35:07Z</dcterms:created>
</cp:coreProperties>
</file>