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Воронежской обл. от 22.05.2025 N 338</w:t>
              <w:br/>
              <w:t xml:space="preserve">"Об утверждении Порядка предоставления грантов в форме субсидий социально ориентированным некоммерческим организациям на реализацию программ (проектов) в сфере культуры"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ВОРОНЕЖСКОЙ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22 мая 2025 г. N 338</w:t>
      </w:r>
    </w:p>
    <w:p>
      <w:pPr>
        <w:pStyle w:val="2"/>
        <w:jc w:val="center"/>
      </w:pPr>
      <w:r>
        <w:rPr>
          <w:sz w:val="20"/>
        </w:rPr>
      </w:r>
    </w:p>
    <w:p>
      <w:pPr>
        <w:pStyle w:val="2"/>
        <w:jc w:val="center"/>
      </w:pPr>
      <w:r>
        <w:rPr>
          <w:sz w:val="20"/>
        </w:rPr>
        <w:t xml:space="preserve">ОБ УТВЕРЖДЕНИИ ПОРЯДКА ПРЕДОСТАВЛЕНИЯ ГРАНТОВ</w:t>
      </w:r>
    </w:p>
    <w:p>
      <w:pPr>
        <w:pStyle w:val="2"/>
        <w:jc w:val="center"/>
      </w:pPr>
      <w:r>
        <w:rPr>
          <w:sz w:val="20"/>
        </w:rPr>
        <w:t xml:space="preserve">В ФОРМЕ СУБСИДИЙ СОЦИАЛЬНО ОРИЕНТИРОВАННЫМ</w:t>
      </w:r>
    </w:p>
    <w:p>
      <w:pPr>
        <w:pStyle w:val="2"/>
        <w:jc w:val="center"/>
      </w:pPr>
      <w:r>
        <w:rPr>
          <w:sz w:val="20"/>
        </w:rPr>
        <w:t xml:space="preserve">НЕКОММЕРЧЕСКИМ ОРГАНИЗАЦИЯМ НА РЕАЛИЗАЦИЮ ПРОГРАММ</w:t>
      </w:r>
    </w:p>
    <w:p>
      <w:pPr>
        <w:pStyle w:val="2"/>
        <w:jc w:val="center"/>
      </w:pPr>
      <w:r>
        <w:rPr>
          <w:sz w:val="20"/>
        </w:rPr>
        <w:t xml:space="preserve">(ПРОЕКТОВ) В СФЕРЕ КУЛЬТУРЫ</w:t>
      </w:r>
    </w:p>
    <w:p>
      <w:pPr>
        <w:pStyle w:val="0"/>
        <w:ind w:firstLine="540"/>
        <w:jc w:val="both"/>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0" w:tooltip="Постановление Правительства Воронежской обл. от 18.12.2013 N 1119 (ред. от 21.11.2025) &quot;Об утверждении государственной программы Воронежской области &quot;Развитие культуры и туризма&quot; {КонсультантПлюс}">
        <w:r>
          <w:rPr>
            <w:sz w:val="20"/>
            <w:color w:val="0000ff"/>
          </w:rPr>
          <w:t xml:space="preserve">постановлением</w:t>
        </w:r>
      </w:hyperlink>
      <w:r>
        <w:rPr>
          <w:sz w:val="20"/>
        </w:rPr>
        <w:t xml:space="preserve"> Правительства Воронежской области от 18.12.2013 N 1119 "Об утверждении государственной программы Воронежской области "Развитие культуры и туризма", </w:t>
      </w:r>
      <w:hyperlink w:history="0" r:id="rId11" w:tooltip="Постановление Правительства Воронежской обл. от 20.09.2024 N 650 &quot;Об утверждении государственной программы Воронежской области &quot;Общественное доверие и реализация государственной национальной политики в Воронежской области&quot; {КонсультантПлюс}">
        <w:r>
          <w:rPr>
            <w:sz w:val="20"/>
            <w:color w:val="0000ff"/>
          </w:rPr>
          <w:t xml:space="preserve">постановлением</w:t>
        </w:r>
      </w:hyperlink>
      <w:r>
        <w:rPr>
          <w:sz w:val="20"/>
        </w:rPr>
        <w:t xml:space="preserve"> Правительства Воронежской области от 20.09.2024 N 650 "Об утверждении государственной программы Воронежской области "Общественное доверие и реализация государственной национальной политики в Воронежской области" Правительство Воронежской области постановляет:</w:t>
      </w:r>
    </w:p>
    <w:p>
      <w:pPr>
        <w:pStyle w:val="0"/>
        <w:spacing w:before="200" w:lineRule="auto"/>
        <w:ind w:firstLine="540"/>
        <w:jc w:val="both"/>
      </w:pPr>
      <w:r>
        <w:rPr>
          <w:sz w:val="20"/>
        </w:rPr>
        <w:t xml:space="preserve">1. Утвердить </w:t>
      </w:r>
      <w:hyperlink w:history="0" w:anchor="P31" w:tooltip="ПОРЯДОК">
        <w:r>
          <w:rPr>
            <w:sz w:val="20"/>
            <w:color w:val="0000ff"/>
          </w:rPr>
          <w:t xml:space="preserve">Порядок</w:t>
        </w:r>
      </w:hyperlink>
      <w:r>
        <w:rPr>
          <w:sz w:val="20"/>
        </w:rPr>
        <w:t xml:space="preserve"> предоставления грантов в форме субсидий социально ориентированным некоммерческим организациям на реализацию программ (проектов) в сфере культуры согласно приложению к настоящему постановлению.</w:t>
      </w:r>
    </w:p>
    <w:p>
      <w:pPr>
        <w:pStyle w:val="0"/>
        <w:spacing w:before="200" w:lineRule="auto"/>
        <w:ind w:firstLine="540"/>
        <w:jc w:val="both"/>
      </w:pPr>
      <w:r>
        <w:rPr>
          <w:sz w:val="20"/>
        </w:rPr>
        <w:t xml:space="preserve">2. Признать утратившим силу </w:t>
      </w:r>
      <w:hyperlink w:history="0" r:id="rId12" w:tooltip="Постановление Правительства Воронежской обл. от 07.06.2024 N 381 &quot;Об утверждении Порядка предоставления грантов в форме субсидий социально ориентированным некоммерческим организациям на реализацию программ (проектов) в сфере культуры&quot; ------------ Утратил силу или отменен {КонсультантПлюс}">
        <w:r>
          <w:rPr>
            <w:sz w:val="20"/>
            <w:color w:val="0000ff"/>
          </w:rPr>
          <w:t xml:space="preserve">постановление</w:t>
        </w:r>
      </w:hyperlink>
      <w:r>
        <w:rPr>
          <w:sz w:val="20"/>
        </w:rPr>
        <w:t xml:space="preserve"> Правительства Воронежской области от 07.06.2024 N 381 "Об утверждении Порядка предоставления грантов в форме субсидий социально ориентированным некоммерческим организациям на реализацию программ (проектов) в сфере культуры".</w:t>
      </w:r>
    </w:p>
    <w:p>
      <w:pPr>
        <w:pStyle w:val="0"/>
        <w:spacing w:before="200" w:lineRule="auto"/>
        <w:ind w:firstLine="540"/>
        <w:jc w:val="both"/>
      </w:pPr>
      <w:r>
        <w:rPr>
          <w:sz w:val="20"/>
        </w:rPr>
        <w:t xml:space="preserve">3. Контроль за исполнением настоящего постановления возложить на заместителя председателя Правительства Воронежской области Мосолова О.Н.</w:t>
      </w:r>
    </w:p>
    <w:p>
      <w:pPr>
        <w:pStyle w:val="0"/>
        <w:ind w:firstLine="54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Воронежской области</w:t>
      </w:r>
    </w:p>
    <w:p>
      <w:pPr>
        <w:pStyle w:val="0"/>
        <w:jc w:val="right"/>
      </w:pPr>
      <w:r>
        <w:rPr>
          <w:sz w:val="20"/>
        </w:rPr>
        <w:t xml:space="preserve">С.Б.ТРУХАЧЕВ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Воронежской области</w:t>
      </w:r>
    </w:p>
    <w:p>
      <w:pPr>
        <w:pStyle w:val="0"/>
        <w:jc w:val="right"/>
      </w:pPr>
      <w:r>
        <w:rPr>
          <w:sz w:val="20"/>
        </w:rPr>
        <w:t xml:space="preserve">от 22.05.2025 N 338</w:t>
      </w:r>
    </w:p>
    <w:p>
      <w:pPr>
        <w:pStyle w:val="0"/>
        <w:ind w:firstLine="540"/>
        <w:jc w:val="both"/>
      </w:pPr>
      <w:r>
        <w:rPr>
          <w:sz w:val="20"/>
        </w:rPr>
      </w:r>
    </w:p>
    <w:bookmarkStart w:id="31" w:name="P31"/>
    <w:bookmarkEnd w:id="31"/>
    <w:p>
      <w:pPr>
        <w:pStyle w:val="2"/>
        <w:jc w:val="center"/>
      </w:pPr>
      <w:r>
        <w:rPr>
          <w:sz w:val="20"/>
        </w:rPr>
        <w:t xml:space="preserve">ПОРЯДОК</w:t>
      </w:r>
    </w:p>
    <w:p>
      <w:pPr>
        <w:pStyle w:val="2"/>
        <w:jc w:val="center"/>
      </w:pPr>
      <w:r>
        <w:rPr>
          <w:sz w:val="20"/>
        </w:rPr>
        <w:t xml:space="preserve">ПРЕДОСТАВЛЕНИЯ ГРАНТОВ В ФОРМЕ СУБСИДИЙ</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РЕАЛИЗАЦИЮ ПРОГРАММ (ПРОЕКТОВ) В СФЕРЕ КУЛЬТУРЫ</w:t>
      </w:r>
    </w:p>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Настоящий Порядок предоставления грантов в форме субсидий социально ориентированным некоммерческим организациям на реализацию программ (проектов) в сфере культуры (далее соответственно - Порядок, гранты) определяет цели, условия и порядок предоставления грантов, порядок проведения отбора получателей грантов, порядок возврата грантов в случае нарушения условий, установленных при их предоставлении, положения о проверке главным распорядителем бюджетных средств соблюдения получателем гранта условий и порядка предоставления гранта, в том числе в части достижения результатов предоставления гранта, а также положения об осуществлении органами государственного финансового контроля проверок в соответствии со </w:t>
      </w:r>
      <w:hyperlink w:history="0" r:id="rId1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1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1.2. Для целей настоящего Порядка под программой (проектом) понимается комплекс взаимосвязанных мероприятий, направленных на решение конкретных задач, соответствующих видам деятельности социально ориентированной некоммерческой организации, предусмотренным ее учредительными документами.</w:t>
      </w:r>
    </w:p>
    <w:bookmarkStart w:id="40" w:name="P40"/>
    <w:bookmarkEnd w:id="40"/>
    <w:p>
      <w:pPr>
        <w:pStyle w:val="0"/>
        <w:spacing w:before="200" w:lineRule="auto"/>
        <w:ind w:firstLine="540"/>
        <w:jc w:val="both"/>
      </w:pPr>
      <w:r>
        <w:rPr>
          <w:sz w:val="20"/>
        </w:rPr>
        <w:t xml:space="preserve">1.3. Целью предоставления грантов является финансовое обеспечение затрат некоммерческих организаций, осуществляющих деятельность в сфере культуры, реализующих программы (проекты) в рамках комплекса процессных мероприятий "Развитие институтов гражданского общества Воронежской области" государственной </w:t>
      </w:r>
      <w:hyperlink w:history="0" r:id="rId15" w:tooltip="Постановление Правительства Воронежской обл. от 20.09.2024 N 650 &quot;Об утверждении государственной программы Воронежской области &quot;Общественное доверие и реализация государственной национальной политики в Воронежской области&quot; {КонсультантПлюс}">
        <w:r>
          <w:rPr>
            <w:sz w:val="20"/>
            <w:color w:val="0000ff"/>
          </w:rPr>
          <w:t xml:space="preserve">программы</w:t>
        </w:r>
      </w:hyperlink>
      <w:r>
        <w:rPr>
          <w:sz w:val="20"/>
        </w:rPr>
        <w:t xml:space="preserve"> Воронежской области "Общественное доверие и реализация государственной национальной политики в Воронежской области", утвержденной постановлением Правительства Воронежской области от 20.09.2024 N 650 "Об утверждении государственной программы Воронежской области "Общественное доверие и реализация государственной национальной политики в Воронежской области", и комплекса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 государственной </w:t>
      </w:r>
      <w:hyperlink w:history="0" r:id="rId16" w:tooltip="Постановление Правительства Воронежской обл. от 18.12.2013 N 1119 (ред. от 21.11.2025) &quot;Об утверждении государственной программы Воронежской области &quot;Развитие культуры и туризма&quot; {КонсультантПлюс}">
        <w:r>
          <w:rPr>
            <w:sz w:val="20"/>
            <w:color w:val="0000ff"/>
          </w:rPr>
          <w:t xml:space="preserve">программы</w:t>
        </w:r>
      </w:hyperlink>
      <w:r>
        <w:rPr>
          <w:sz w:val="20"/>
        </w:rPr>
        <w:t xml:space="preserve"> Воронежской области "Развитие культуры и туризма", утвержденной постановлением Правительства Воронежской области от 18.12.2013 N 1119 "Об утверждении государственной программы Воронежской области "Развитие культуры и туризма".</w:t>
      </w:r>
    </w:p>
    <w:bookmarkStart w:id="41" w:name="P41"/>
    <w:bookmarkEnd w:id="41"/>
    <w:p>
      <w:pPr>
        <w:pStyle w:val="0"/>
        <w:spacing w:before="200" w:lineRule="auto"/>
        <w:ind w:firstLine="540"/>
        <w:jc w:val="both"/>
      </w:pPr>
      <w:r>
        <w:rPr>
          <w:sz w:val="20"/>
        </w:rPr>
        <w:t xml:space="preserve">1.4.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является министерство культуры Воронежской области (далее - Министерство).</w:t>
      </w:r>
    </w:p>
    <w:p>
      <w:pPr>
        <w:pStyle w:val="0"/>
        <w:spacing w:before="200" w:lineRule="auto"/>
        <w:ind w:firstLine="540"/>
        <w:jc w:val="both"/>
      </w:pPr>
      <w:r>
        <w:rPr>
          <w:sz w:val="20"/>
        </w:rPr>
        <w:t xml:space="preserve">Предоставление грантов осуществляется в соответствии со сводной бюджетной росписью в пределах бюджетных ассигнований, предусмотренных Законом Воронежской области об областном бюджете на соответствующий финансовый год и плановый период, на цели, указанные в настоящем Порядке.</w:t>
      </w:r>
    </w:p>
    <w:p>
      <w:pPr>
        <w:pStyle w:val="0"/>
        <w:spacing w:before="200" w:lineRule="auto"/>
        <w:ind w:firstLine="540"/>
        <w:jc w:val="both"/>
      </w:pPr>
      <w:r>
        <w:rPr>
          <w:sz w:val="20"/>
        </w:rPr>
        <w:t xml:space="preserve">1.5. Способом предоставления гранта является финансовое обеспечение затрат.</w:t>
      </w:r>
    </w:p>
    <w:p>
      <w:pPr>
        <w:pStyle w:val="0"/>
        <w:spacing w:before="200" w:lineRule="auto"/>
        <w:ind w:firstLine="540"/>
        <w:jc w:val="both"/>
      </w:pPr>
      <w:r>
        <w:rPr>
          <w:sz w:val="20"/>
        </w:rPr>
        <w:t xml:space="preserve">1.6. Информация о гранте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w:t>
      </w:r>
    </w:p>
    <w:p>
      <w:pPr>
        <w:pStyle w:val="0"/>
        <w:ind w:firstLine="540"/>
        <w:jc w:val="both"/>
      </w:pPr>
      <w:r>
        <w:rPr>
          <w:sz w:val="20"/>
        </w:rPr>
      </w:r>
    </w:p>
    <w:p>
      <w:pPr>
        <w:pStyle w:val="2"/>
        <w:outlineLvl w:val="1"/>
        <w:jc w:val="center"/>
      </w:pPr>
      <w:r>
        <w:rPr>
          <w:sz w:val="20"/>
        </w:rPr>
        <w:t xml:space="preserve">2. Условия и порядок предоставления грантов</w:t>
      </w:r>
    </w:p>
    <w:p>
      <w:pPr>
        <w:pStyle w:val="0"/>
        <w:ind w:firstLine="540"/>
        <w:jc w:val="both"/>
      </w:pPr>
      <w:r>
        <w:rPr>
          <w:sz w:val="20"/>
        </w:rPr>
      </w:r>
    </w:p>
    <w:p>
      <w:pPr>
        <w:pStyle w:val="0"/>
        <w:ind w:firstLine="540"/>
        <w:jc w:val="both"/>
      </w:pPr>
      <w:r>
        <w:rPr>
          <w:sz w:val="20"/>
        </w:rPr>
        <w:t xml:space="preserve">2.1. Право на получение грантов имеют социально ориентированные некоммерческие организации, осуществляющие деятельность в сфере культуры (далее - участники отбора, получатели гранта), соответствующие требованиям и условиям, установленным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9"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w:t>
      </w:r>
    </w:p>
    <w:bookmarkStart w:id="49" w:name="P49"/>
    <w:bookmarkEnd w:id="49"/>
    <w:p>
      <w:pPr>
        <w:pStyle w:val="0"/>
        <w:spacing w:before="200" w:lineRule="auto"/>
        <w:ind w:firstLine="540"/>
        <w:jc w:val="both"/>
      </w:pPr>
      <w:r>
        <w:rPr>
          <w:sz w:val="20"/>
        </w:rPr>
        <w:t xml:space="preserve">2.2. На даты рассмотрения </w:t>
      </w:r>
      <w:hyperlink w:history="0" w:anchor="P260" w:tooltip="ЗАЯВКА">
        <w:r>
          <w:rPr>
            <w:sz w:val="20"/>
            <w:color w:val="0000ff"/>
          </w:rPr>
          <w:t xml:space="preserve">заявки</w:t>
        </w:r>
      </w:hyperlink>
      <w:r>
        <w:rPr>
          <w:sz w:val="20"/>
        </w:rPr>
        <w:t xml:space="preserve">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w:t>
      </w:r>
    </w:p>
    <w:bookmarkStart w:id="50" w:name="P50"/>
    <w:bookmarkEnd w:id="50"/>
    <w:p>
      <w:pPr>
        <w:pStyle w:val="0"/>
        <w:spacing w:before="200" w:lineRule="auto"/>
        <w:ind w:firstLine="540"/>
        <w:jc w:val="both"/>
      </w:pPr>
      <w:r>
        <w:rPr>
          <w:sz w:val="20"/>
        </w:rPr>
        <w:t xml:space="preserve">а) участник отбора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51" w:name="P51"/>
    <w:bookmarkEnd w:id="51"/>
    <w:p>
      <w:pPr>
        <w:pStyle w:val="0"/>
        <w:spacing w:before="200" w:lineRule="auto"/>
        <w:ind w:firstLine="540"/>
        <w:jc w:val="both"/>
      </w:pPr>
      <w:r>
        <w:rPr>
          <w:sz w:val="20"/>
        </w:rPr>
        <w:t xml:space="preserve">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52" w:name="P52"/>
    <w:bookmarkEnd w:id="52"/>
    <w:p>
      <w:pPr>
        <w:pStyle w:val="0"/>
        <w:spacing w:before="200" w:lineRule="auto"/>
        <w:ind w:firstLine="540"/>
        <w:jc w:val="both"/>
      </w:pPr>
      <w:r>
        <w:rPr>
          <w:sz w:val="20"/>
        </w:rPr>
        <w:t xml:space="preserve">в) участник отбора не находится в составляемых в рамках реализации полномочий, предусмотренных </w:t>
      </w:r>
      <w:hyperlink w:history="0" r:id="rId17"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53" w:name="P53"/>
    <w:bookmarkEnd w:id="53"/>
    <w:p>
      <w:pPr>
        <w:pStyle w:val="0"/>
        <w:spacing w:before="200" w:lineRule="auto"/>
        <w:ind w:firstLine="540"/>
        <w:jc w:val="both"/>
      </w:pPr>
      <w:r>
        <w:rPr>
          <w:sz w:val="20"/>
        </w:rPr>
        <w:t xml:space="preserve">г) участник отбора не получает средства из бюджета Воронежской области на основании иных нормативных правовых актов Воронежской области на цель, установленную </w:t>
      </w:r>
      <w:hyperlink w:history="0" w:anchor="P40" w:tooltip="1.3. Целью предоставления грантов является финансовое обеспечение затрат некоммерческих организаций, осуществляющих деятельность в сфере культуры, реализующих программы (проекты) в рамках комплекса процессных мероприятий &quot;Развитие институтов гражданского общества Воронежской области&quot; государственной программы Воронежской области &quot;Общественное доверие и реализация государственной национальной политики в Воронежской области&quot;, утвержденной постановлением Правительства Воронежской области от 20.09.2024 N 650...">
        <w:r>
          <w:rPr>
            <w:sz w:val="20"/>
            <w:color w:val="0000ff"/>
          </w:rPr>
          <w:t xml:space="preserve">пунктом 1.3</w:t>
        </w:r>
      </w:hyperlink>
      <w:r>
        <w:rPr>
          <w:sz w:val="20"/>
        </w:rPr>
        <w:t xml:space="preserve"> настоящего Порядка;</w:t>
      </w:r>
    </w:p>
    <w:bookmarkStart w:id="54" w:name="P54"/>
    <w:bookmarkEnd w:id="54"/>
    <w:p>
      <w:pPr>
        <w:pStyle w:val="0"/>
        <w:spacing w:before="200" w:lineRule="auto"/>
        <w:ind w:firstLine="540"/>
        <w:jc w:val="both"/>
      </w:pPr>
      <w:r>
        <w:rPr>
          <w:sz w:val="20"/>
        </w:rPr>
        <w:t xml:space="preserve">д) участник отбора не является иностранным агентом в соответствии с Федеральным </w:t>
      </w:r>
      <w:hyperlink w:history="0" r:id="rId1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55" w:name="P55"/>
    <w:bookmarkEnd w:id="55"/>
    <w:p>
      <w:pPr>
        <w:pStyle w:val="0"/>
        <w:spacing w:before="200" w:lineRule="auto"/>
        <w:ind w:firstLine="540"/>
        <w:jc w:val="both"/>
      </w:pPr>
      <w:r>
        <w:rPr>
          <w:sz w:val="20"/>
        </w:rPr>
        <w:t xml:space="preserve">е) у участника отбора на едином налоговом счете отсутствует или не превышает размер, определенный </w:t>
      </w:r>
      <w:hyperlink w:history="0" r:id="rId19"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56" w:name="P56"/>
    <w:bookmarkEnd w:id="56"/>
    <w:p>
      <w:pPr>
        <w:pStyle w:val="0"/>
        <w:spacing w:before="200" w:lineRule="auto"/>
        <w:ind w:firstLine="540"/>
        <w:jc w:val="both"/>
      </w:pPr>
      <w:r>
        <w:rPr>
          <w:sz w:val="20"/>
        </w:rPr>
        <w:t xml:space="preserve">ж) у участника отбора отсутствуют просроченная задолженность по возврату в бюджет Воронежской области иных субсидий, бюджетных инвестиций, а также иная просроченная (неурегулированная) задолженность по денежным обязательствам перед Воронежской областью (за исключением случаев, установленных Правительством Воронежской области);</w:t>
      </w:r>
    </w:p>
    <w:bookmarkStart w:id="57" w:name="P57"/>
    <w:bookmarkEnd w:id="57"/>
    <w:p>
      <w:pPr>
        <w:pStyle w:val="0"/>
        <w:spacing w:before="200" w:lineRule="auto"/>
        <w:ind w:firstLine="540"/>
        <w:jc w:val="both"/>
      </w:pPr>
      <w:r>
        <w:rPr>
          <w:sz w:val="20"/>
        </w:rPr>
        <w:t xml:space="preserve">з) 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bookmarkStart w:id="58" w:name="P58"/>
    <w:bookmarkEnd w:id="58"/>
    <w:p>
      <w:pPr>
        <w:pStyle w:val="0"/>
        <w:spacing w:before="200" w:lineRule="auto"/>
        <w:ind w:firstLine="540"/>
        <w:jc w:val="both"/>
      </w:pPr>
      <w:r>
        <w:rPr>
          <w:sz w:val="20"/>
        </w:rPr>
        <w:t xml:space="preserve">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bookmarkStart w:id="59" w:name="P59"/>
    <w:bookmarkEnd w:id="59"/>
    <w:p>
      <w:pPr>
        <w:pStyle w:val="0"/>
        <w:spacing w:before="200" w:lineRule="auto"/>
        <w:ind w:firstLine="540"/>
        <w:jc w:val="both"/>
      </w:pPr>
      <w:r>
        <w:rPr>
          <w:sz w:val="20"/>
        </w:rPr>
        <w:t xml:space="preserve">2.3. На дату рассмотрения заявки участник отбора должен соответствовать следующим условиям:</w:t>
      </w:r>
    </w:p>
    <w:p>
      <w:pPr>
        <w:pStyle w:val="0"/>
        <w:spacing w:before="200" w:lineRule="auto"/>
        <w:ind w:firstLine="540"/>
        <w:jc w:val="both"/>
      </w:pPr>
      <w:r>
        <w:rPr>
          <w:sz w:val="20"/>
        </w:rPr>
        <w:t xml:space="preserve">а) участник отбора поставлен на учет в налоговых органах на территории Воронежской области и осуществляет в соответствии со своими учредительными документами деятельность в области культуры, предусмотренную </w:t>
      </w:r>
      <w:hyperlink w:history="0" r:id="rId20"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статьей 31.1</w:t>
        </w:r>
      </w:hyperlink>
      <w:r>
        <w:rPr>
          <w:sz w:val="20"/>
        </w:rPr>
        <w:t xml:space="preserve"> Федерального закона от 12.01.1996 N 7-ФЗ "О некоммерческих организациях" и </w:t>
      </w:r>
      <w:hyperlink w:history="0" r:id="rId21" w:tooltip="Закон Воронежской области от 06.10.2011 N 134-ОЗ (ред. от 21.03.2025) &quot;О государственной (областной) поддержке социально ориентированных некоммерческих организаций в Воронежской области&quot; (принят Воронежской областной Думой 29.09.2011) {КонсультантПлюс}">
        <w:r>
          <w:rPr>
            <w:sz w:val="20"/>
            <w:color w:val="0000ff"/>
          </w:rPr>
          <w:t xml:space="preserve">статьей 6</w:t>
        </w:r>
      </w:hyperlink>
      <w:r>
        <w:rPr>
          <w:sz w:val="20"/>
        </w:rPr>
        <w:t xml:space="preserve"> Закона Воронежской области от 06.10.2011 N 134-ОЗ "О государственной (областной) поддержке социально ориентированных некоммерческих организаций в Воронежской области", на территории Воронежской области;</w:t>
      </w:r>
    </w:p>
    <w:p>
      <w:pPr>
        <w:pStyle w:val="0"/>
        <w:spacing w:before="200" w:lineRule="auto"/>
        <w:ind w:firstLine="540"/>
        <w:jc w:val="both"/>
      </w:pPr>
      <w:r>
        <w:rPr>
          <w:sz w:val="20"/>
        </w:rPr>
        <w:t xml:space="preserve">б) участник отбора не имеет учредителя, являющегося государственным органом, органом местного самоуправления или публично-правовым образованием;</w:t>
      </w:r>
    </w:p>
    <w:p>
      <w:pPr>
        <w:pStyle w:val="0"/>
        <w:spacing w:before="200" w:lineRule="auto"/>
        <w:ind w:firstLine="540"/>
        <w:jc w:val="both"/>
      </w:pPr>
      <w:r>
        <w:rPr>
          <w:sz w:val="20"/>
        </w:rPr>
        <w:t xml:space="preserve">в) программа (проект) участника отбора планируется к реализации на территории Воронежской области по одному или нескольким из следующих направлений:</w:t>
      </w:r>
    </w:p>
    <w:p>
      <w:pPr>
        <w:pStyle w:val="0"/>
        <w:spacing w:before="200" w:lineRule="auto"/>
        <w:ind w:firstLine="540"/>
        <w:jc w:val="both"/>
      </w:pPr>
      <w:r>
        <w:rPr>
          <w:sz w:val="20"/>
        </w:rPr>
        <w:t xml:space="preserve">- сохранение, создание, распространение и освоение культурных ценностей в сфере музыкального, театрального искусства, изобразительного искусства, киноискусства, литературы, за исключением книгоиздательской деятельности;</w:t>
      </w:r>
    </w:p>
    <w:p>
      <w:pPr>
        <w:pStyle w:val="0"/>
        <w:spacing w:before="200" w:lineRule="auto"/>
        <w:ind w:firstLine="540"/>
        <w:jc w:val="both"/>
      </w:pPr>
      <w:r>
        <w:rPr>
          <w:sz w:val="20"/>
        </w:rPr>
        <w:t xml:space="preserve">-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w:t>
      </w:r>
    </w:p>
    <w:p>
      <w:pPr>
        <w:pStyle w:val="0"/>
        <w:spacing w:before="200" w:lineRule="auto"/>
        <w:ind w:firstLine="540"/>
        <w:jc w:val="both"/>
      </w:pPr>
      <w:r>
        <w:rPr>
          <w:sz w:val="20"/>
        </w:rPr>
        <w:t xml:space="preserve">2.4. Способом проведения отбора для предоставления грантов является конкурс, который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2.5. Объявление о проведении отбора размещается Министерством на едином портале с указанием:</w:t>
      </w:r>
    </w:p>
    <w:p>
      <w:pPr>
        <w:pStyle w:val="0"/>
        <w:spacing w:before="200" w:lineRule="auto"/>
        <w:ind w:firstLine="540"/>
        <w:jc w:val="both"/>
      </w:pPr>
      <w:r>
        <w:rPr>
          <w:sz w:val="20"/>
        </w:rPr>
        <w:t xml:space="preserve">- сроков проведения отбора;</w:t>
      </w:r>
    </w:p>
    <w:p>
      <w:pPr>
        <w:pStyle w:val="0"/>
        <w:spacing w:before="200" w:lineRule="auto"/>
        <w:ind w:firstLine="540"/>
        <w:jc w:val="both"/>
      </w:pPr>
      <w:r>
        <w:rPr>
          <w:sz w:val="20"/>
        </w:rPr>
        <w:t xml:space="preserve">- дат начала подачи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 наименования, места нахождения, почтового адреса, адреса электронной почты Министерства;</w:t>
      </w:r>
    </w:p>
    <w:p>
      <w:pPr>
        <w:pStyle w:val="0"/>
        <w:spacing w:before="200" w:lineRule="auto"/>
        <w:ind w:firstLine="540"/>
        <w:jc w:val="both"/>
      </w:pPr>
      <w:r>
        <w:rPr>
          <w:sz w:val="20"/>
        </w:rPr>
        <w:t xml:space="preserve">- результатов предоставления грантов;</w:t>
      </w:r>
    </w:p>
    <w:p>
      <w:pPr>
        <w:pStyle w:val="0"/>
        <w:spacing w:before="200" w:lineRule="auto"/>
        <w:ind w:firstLine="540"/>
        <w:jc w:val="both"/>
      </w:pPr>
      <w:r>
        <w:rPr>
          <w:sz w:val="20"/>
        </w:rPr>
        <w:t xml:space="preserve">- доменного имени и (или) указателей страниц системы "Электронный бюджет" в сети "Интернет";</w:t>
      </w:r>
    </w:p>
    <w:p>
      <w:pPr>
        <w:pStyle w:val="0"/>
        <w:spacing w:before="200" w:lineRule="auto"/>
        <w:ind w:firstLine="540"/>
        <w:jc w:val="both"/>
      </w:pPr>
      <w:r>
        <w:rPr>
          <w:sz w:val="20"/>
        </w:rPr>
        <w:t xml:space="preserve">- требований и условий, которым должен соответствовать участник отбора в соответствии с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9"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 и перечня документов, представляемых участниками отбора для подтверждения их соответствия указанным требованиям и условиям;</w:t>
      </w:r>
    </w:p>
    <w:p>
      <w:pPr>
        <w:pStyle w:val="0"/>
        <w:spacing w:before="200" w:lineRule="auto"/>
        <w:ind w:firstLine="540"/>
        <w:jc w:val="both"/>
      </w:pPr>
      <w:r>
        <w:rPr>
          <w:sz w:val="20"/>
        </w:rPr>
        <w:t xml:space="preserve">- категории получателей грантов и критериев оценки заявок;</w:t>
      </w:r>
    </w:p>
    <w:p>
      <w:pPr>
        <w:pStyle w:val="0"/>
        <w:spacing w:before="200" w:lineRule="auto"/>
        <w:ind w:firstLine="540"/>
        <w:jc w:val="both"/>
      </w:pPr>
      <w:r>
        <w:rPr>
          <w:sz w:val="20"/>
        </w:rPr>
        <w:t xml:space="preserve">- порядка подачи заявок участниками отбора и требований, предъявляемых к форме и содержанию заявок;</w:t>
      </w:r>
    </w:p>
    <w:p>
      <w:pPr>
        <w:pStyle w:val="0"/>
        <w:spacing w:before="200" w:lineRule="auto"/>
        <w:ind w:firstLine="540"/>
        <w:jc w:val="both"/>
      </w:pPr>
      <w:r>
        <w:rPr>
          <w:sz w:val="20"/>
        </w:rPr>
        <w:t xml:space="preserve">- порядка отзыва заявок, порядка их возврата, определяющего в том числе основания для возврата заявок, порядка внесения изменений в заявки;</w:t>
      </w:r>
    </w:p>
    <w:p>
      <w:pPr>
        <w:pStyle w:val="0"/>
        <w:spacing w:before="200" w:lineRule="auto"/>
        <w:ind w:firstLine="540"/>
        <w:jc w:val="both"/>
      </w:pPr>
      <w:r>
        <w:rPr>
          <w:sz w:val="20"/>
        </w:rPr>
        <w:t xml:space="preserve">- правил рассмотрения и оценки заявок в соответствии с </w:t>
      </w:r>
      <w:hyperlink w:history="0" w:anchor="P107" w:tooltip="2.11. Министерство в день рассмотрения заявки:">
        <w:r>
          <w:rPr>
            <w:sz w:val="20"/>
            <w:color w:val="0000ff"/>
          </w:rPr>
          <w:t xml:space="preserve">пунктами 2.11</w:t>
        </w:r>
      </w:hyperlink>
      <w:r>
        <w:rPr>
          <w:sz w:val="20"/>
        </w:rPr>
        <w:t xml:space="preserve"> - </w:t>
      </w:r>
      <w:hyperlink w:history="0" w:anchor="P127" w:tooltip="2.14. Министерство в течение 10 рабочих дней с даты окончания приема заявок рассматривает заявки на предмет соответствия требованиям и условиям, установленным пунктами 2.2, 2.3 настоящего Порядка.">
        <w:r>
          <w:rPr>
            <w:sz w:val="20"/>
            <w:color w:val="0000ff"/>
          </w:rPr>
          <w:t xml:space="preserve">2.14</w:t>
        </w:r>
      </w:hyperlink>
      <w:r>
        <w:rPr>
          <w:sz w:val="20"/>
        </w:rPr>
        <w:t xml:space="preserve"> настоящего Порядка;</w:t>
      </w:r>
    </w:p>
    <w:p>
      <w:pPr>
        <w:pStyle w:val="0"/>
        <w:spacing w:before="200" w:lineRule="auto"/>
        <w:ind w:firstLine="540"/>
        <w:jc w:val="both"/>
      </w:pPr>
      <w:r>
        <w:rPr>
          <w:sz w:val="20"/>
        </w:rPr>
        <w:t xml:space="preserve">- порядка возврата заявок на доработку;</w:t>
      </w:r>
    </w:p>
    <w:p>
      <w:pPr>
        <w:pStyle w:val="0"/>
        <w:spacing w:before="200" w:lineRule="auto"/>
        <w:ind w:firstLine="540"/>
        <w:jc w:val="both"/>
      </w:pPr>
      <w:r>
        <w:rPr>
          <w:sz w:val="20"/>
        </w:rPr>
        <w:t xml:space="preserve">- порядка отклонения заявок, а также информации об основании их отклонения;</w:t>
      </w:r>
    </w:p>
    <w:p>
      <w:pPr>
        <w:pStyle w:val="0"/>
        <w:spacing w:before="200" w:lineRule="auto"/>
        <w:ind w:firstLine="540"/>
        <w:jc w:val="both"/>
      </w:pPr>
      <w:r>
        <w:rPr>
          <w:sz w:val="20"/>
        </w:rPr>
        <w:t xml:space="preserve">- порядка оценки заявок, включающего критерии оценки и их весовое значение в общей оценке, необходимую для представления участником отбора информацию по каждому критерию оценки, сведения, документы и материалы, подтверждающие такую информацию, сроки оценки заявок, а также информацию об участии комиссии в оценке заявок;</w:t>
      </w:r>
    </w:p>
    <w:p>
      <w:pPr>
        <w:pStyle w:val="0"/>
        <w:spacing w:before="200" w:lineRule="auto"/>
        <w:ind w:firstLine="540"/>
        <w:jc w:val="both"/>
      </w:pPr>
      <w:r>
        <w:rPr>
          <w:sz w:val="20"/>
        </w:rPr>
        <w:t xml:space="preserve">- порядка предоставления участникам отбора разъяснений положений объявления о проведении отбора, дат начала и окончания срока такого предоставления;</w:t>
      </w:r>
    </w:p>
    <w:p>
      <w:pPr>
        <w:pStyle w:val="0"/>
        <w:spacing w:before="200" w:lineRule="auto"/>
        <w:ind w:firstLine="540"/>
        <w:jc w:val="both"/>
      </w:pPr>
      <w:r>
        <w:rPr>
          <w:sz w:val="20"/>
        </w:rPr>
        <w:t xml:space="preserve">- срока, в течение которого победитель (победители) отбора должен подписать Соглашение;</w:t>
      </w:r>
    </w:p>
    <w:p>
      <w:pPr>
        <w:pStyle w:val="0"/>
        <w:spacing w:before="200" w:lineRule="auto"/>
        <w:ind w:firstLine="540"/>
        <w:jc w:val="both"/>
      </w:pPr>
      <w:r>
        <w:rPr>
          <w:sz w:val="20"/>
        </w:rPr>
        <w:t xml:space="preserve">- объема распределяемого гранта в рамках отбора, порядка расчетов размера гранта, правил распределения гранта по результатам отбора;</w:t>
      </w:r>
    </w:p>
    <w:p>
      <w:pPr>
        <w:pStyle w:val="0"/>
        <w:spacing w:before="200" w:lineRule="auto"/>
        <w:ind w:firstLine="540"/>
        <w:jc w:val="both"/>
      </w:pPr>
      <w:r>
        <w:rPr>
          <w:sz w:val="20"/>
        </w:rPr>
        <w:t xml:space="preserve">- условий признания победителя (победителей) отбора уклонившимся от заключения Соглашения;</w:t>
      </w:r>
    </w:p>
    <w:p>
      <w:pPr>
        <w:pStyle w:val="0"/>
        <w:spacing w:before="200" w:lineRule="auto"/>
        <w:ind w:firstLine="540"/>
        <w:jc w:val="both"/>
      </w:pPr>
      <w:r>
        <w:rPr>
          <w:sz w:val="20"/>
        </w:rPr>
        <w:t xml:space="preserve">- сроков размещения протокола подведения итогов отбора на едином портале, которые не могут быть позднее 14-го календарного дня, следующего за днем определения победителя отбора.</w:t>
      </w:r>
    </w:p>
    <w:p>
      <w:pPr>
        <w:pStyle w:val="0"/>
        <w:spacing w:before="200" w:lineRule="auto"/>
        <w:ind w:firstLine="540"/>
        <w:jc w:val="both"/>
      </w:pPr>
      <w:r>
        <w:rPr>
          <w:sz w:val="20"/>
        </w:rPr>
        <w:t xml:space="preserve">Внесение изменений в объявление о проведении отбора осуществляется Министерством не позднее наступления даты окончания приема заявок с соблюдением следующих условий:</w:t>
      </w:r>
    </w:p>
    <w:p>
      <w:pPr>
        <w:pStyle w:val="0"/>
        <w:spacing w:before="200" w:lineRule="auto"/>
        <w:ind w:firstLine="540"/>
        <w:jc w:val="both"/>
      </w:pPr>
      <w:r>
        <w:rPr>
          <w:sz w:val="20"/>
        </w:rPr>
        <w:t xml:space="preserve">а)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б) при внесении изменений в объявление о проведении отбора изменение способа отбора не допускается;</w:t>
      </w:r>
    </w:p>
    <w:p>
      <w:pPr>
        <w:pStyle w:val="0"/>
        <w:spacing w:before="200" w:lineRule="auto"/>
        <w:ind w:firstLine="540"/>
        <w:jc w:val="both"/>
      </w:pPr>
      <w:r>
        <w:rPr>
          <w:sz w:val="20"/>
        </w:rPr>
        <w:t xml:space="preserve">в)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г) 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spacing w:before="200" w:lineRule="auto"/>
        <w:ind w:firstLine="540"/>
        <w:jc w:val="both"/>
      </w:pPr>
      <w:r>
        <w:rPr>
          <w:sz w:val="20"/>
        </w:rPr>
        <w:t xml:space="preserve">2.6. Взаимодействие Министерства с участниками отбора осуществляется в следующем порядке:</w:t>
      </w:r>
    </w:p>
    <w:p>
      <w:pPr>
        <w:pStyle w:val="0"/>
        <w:spacing w:before="200" w:lineRule="auto"/>
        <w:ind w:firstLine="540"/>
        <w:jc w:val="both"/>
      </w:pPr>
      <w:r>
        <w:rPr>
          <w:sz w:val="20"/>
        </w:rPr>
        <w:t xml:space="preserve">а) 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б) взаимодействие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2.7. Для получения субсидии участники отбора в срок приема заявок формируют заявку в электронной форме посредством заполнения соответствующих экранных форм веб-интерфейса системы "Электронный бюджет", которая включает в том числе информацию об участнике отбора, предлагаемые участником отбора значения результата предоставления гранта в соответствии с </w:t>
      </w:r>
      <w:hyperlink w:history="0" w:anchor="P218" w:tooltip="2.31. Результатом предоставления субсидии является достижение значения мероприятия (результата) &quot;Реализованы творческие проекты некоммерческих организаций, направленные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quot; (единиц) комплекса процессных мероприятий &quot;Развитие институтов гражданского общес...">
        <w:r>
          <w:rPr>
            <w:sz w:val="20"/>
            <w:color w:val="0000ff"/>
          </w:rPr>
          <w:t xml:space="preserve">пунктом 2.31</w:t>
        </w:r>
      </w:hyperlink>
      <w:r>
        <w:rPr>
          <w:sz w:val="20"/>
        </w:rPr>
        <w:t xml:space="preserve"> настоящего Порядка и размер запрашиваемого гранта, рассчитанный в соответствии с </w:t>
      </w:r>
      <w:hyperlink w:history="0" w:anchor="P183" w:tooltip="2.24. Размер гранта, предоставляемого получателю гранта, определяется по следующей формуле:">
        <w:r>
          <w:rPr>
            <w:sz w:val="20"/>
            <w:color w:val="0000ff"/>
          </w:rPr>
          <w:t xml:space="preserve">пунктом 2.24</w:t>
        </w:r>
      </w:hyperlink>
      <w:r>
        <w:rPr>
          <w:sz w:val="20"/>
        </w:rPr>
        <w:t xml:space="preserve"> настоящего Порядка, и представляют в систему "Электронный бюджет" электронные копии следующих документов (документов на бумажном носителе, преобразованных в электронную форму путем сканирования):</w:t>
      </w:r>
    </w:p>
    <w:p>
      <w:pPr>
        <w:pStyle w:val="0"/>
        <w:spacing w:before="200" w:lineRule="auto"/>
        <w:ind w:firstLine="540"/>
        <w:jc w:val="both"/>
      </w:pPr>
      <w:r>
        <w:rPr>
          <w:sz w:val="20"/>
        </w:rPr>
        <w:t xml:space="preserve">а) документа, подтверждающего полномочия руководителя участника отбора (копию решения о назначении или об избрании), или документа, подтверждающего полномочия лица на подачу заявки от имени участника отбора, в случае, если заявку подает лицо, сведения о котором как о лице, имеющем право без доверенности действовать от имени участника отбора, не содержатся в Едином государственном реестре юридических лиц;</w:t>
      </w:r>
    </w:p>
    <w:p>
      <w:pPr>
        <w:pStyle w:val="0"/>
        <w:spacing w:before="200" w:lineRule="auto"/>
        <w:ind w:firstLine="540"/>
        <w:jc w:val="both"/>
      </w:pPr>
      <w:r>
        <w:rPr>
          <w:sz w:val="20"/>
        </w:rPr>
        <w:t xml:space="preserve">б) действующих редакций учредительных документов участника отбора;</w:t>
      </w:r>
    </w:p>
    <w:p>
      <w:pPr>
        <w:pStyle w:val="0"/>
        <w:spacing w:before="200" w:lineRule="auto"/>
        <w:ind w:firstLine="540"/>
        <w:jc w:val="both"/>
      </w:pPr>
      <w:r>
        <w:rPr>
          <w:sz w:val="20"/>
        </w:rPr>
        <w:t xml:space="preserve">в) </w:t>
      </w:r>
      <w:hyperlink w:history="0" w:anchor="P316" w:tooltip="Паспорт программы (проекта)">
        <w:r>
          <w:rPr>
            <w:sz w:val="20"/>
            <w:color w:val="0000ff"/>
          </w:rPr>
          <w:t xml:space="preserve">паспорта</w:t>
        </w:r>
      </w:hyperlink>
      <w:r>
        <w:rPr>
          <w:sz w:val="20"/>
        </w:rPr>
        <w:t xml:space="preserve"> программы (проекта) по форме согласно приложению N 2 к настоящему Порядку.</w:t>
      </w:r>
    </w:p>
    <w:p>
      <w:pPr>
        <w:pStyle w:val="0"/>
        <w:spacing w:before="200" w:lineRule="auto"/>
        <w:ind w:firstLine="540"/>
        <w:jc w:val="both"/>
      </w:pPr>
      <w:r>
        <w:rPr>
          <w:sz w:val="20"/>
        </w:rPr>
        <w:t xml:space="preserve">Участник отбора вправе подать только одну заявку.</w:t>
      </w:r>
    </w:p>
    <w:p>
      <w:pPr>
        <w:pStyle w:val="0"/>
        <w:spacing w:before="200" w:lineRule="auto"/>
        <w:ind w:firstLine="540"/>
        <w:jc w:val="both"/>
      </w:pPr>
      <w:r>
        <w:rPr>
          <w:sz w:val="20"/>
        </w:rPr>
        <w:t xml:space="preserve">Заявка должна быть подписана усиленной квалифицированной электронной подписью участника отбора или лица, имеющего право действовать без доверенности от имени участника отбора в соответствии с его учредительными документами, либо иного уполномоченного лица.</w:t>
      </w:r>
    </w:p>
    <w:p>
      <w:pPr>
        <w:pStyle w:val="0"/>
        <w:spacing w:before="200" w:lineRule="auto"/>
        <w:ind w:firstLine="540"/>
        <w:jc w:val="both"/>
      </w:pPr>
      <w:r>
        <w:rPr>
          <w:sz w:val="20"/>
        </w:rPr>
        <w:t xml:space="preserve">Электронные копии документов и материалы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00" w:lineRule="auto"/>
        <w:ind w:firstLine="540"/>
        <w:jc w:val="both"/>
      </w:pPr>
      <w:r>
        <w:rPr>
          <w:sz w:val="20"/>
        </w:rPr>
        <w:t xml:space="preserve">От участника отбора запрещается требовать представления документов и информации в целях подтверждения соответствия участника отбора требованиям, указанным в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пункте 2.2</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имеется у Министерства.</w:t>
      </w:r>
    </w:p>
    <w:p>
      <w:pPr>
        <w:pStyle w:val="0"/>
        <w:spacing w:before="200" w:lineRule="auto"/>
        <w:ind w:firstLine="540"/>
        <w:jc w:val="both"/>
      </w:pPr>
      <w:r>
        <w:rPr>
          <w:sz w:val="20"/>
        </w:rPr>
        <w:t xml:space="preserve">2.8.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2.9. Участник отбора вправе в течение срока приема заявок внести изменения в поданную заявку в системе "Электронный бюджет".</w:t>
      </w:r>
    </w:p>
    <w:p>
      <w:pPr>
        <w:pStyle w:val="0"/>
        <w:spacing w:before="200" w:lineRule="auto"/>
        <w:ind w:firstLine="540"/>
        <w:jc w:val="both"/>
      </w:pPr>
      <w:r>
        <w:rPr>
          <w:sz w:val="20"/>
        </w:rPr>
        <w:t xml:space="preserve">2.10. Участник отбора в период срока подачи заявок вправе обратиться в Министерство с запросом о разъяснении положений объявления о проведении отбора путем формирования в системе "Электронный бюджет" соответствующего запроса.</w:t>
      </w:r>
    </w:p>
    <w:p>
      <w:pPr>
        <w:pStyle w:val="0"/>
        <w:spacing w:before="200" w:lineRule="auto"/>
        <w:ind w:firstLine="540"/>
        <w:jc w:val="both"/>
      </w:pPr>
      <w:r>
        <w:rPr>
          <w:sz w:val="20"/>
        </w:rPr>
        <w:t xml:space="preserve">Министерство направляет разъяснение положений объявления о проведении отбора в течение 3 рабочих дней со дня регистрации запроса о разъяснении положений объявления о проведении отбора путем формирования в системе "Электронный бюджет" соответствующего разъяснения.</w:t>
      </w:r>
    </w:p>
    <w:p>
      <w:pPr>
        <w:pStyle w:val="0"/>
        <w:spacing w:before="200" w:lineRule="auto"/>
        <w:ind w:firstLine="540"/>
        <w:jc w:val="both"/>
      </w:pPr>
      <w:r>
        <w:rPr>
          <w:sz w:val="20"/>
        </w:rPr>
        <w:t xml:space="preserve">Доступ к разъяснению, формируемому в системе "Электронный бюджет", предоставляется всем участникам отбора.</w:t>
      </w:r>
    </w:p>
    <w:p>
      <w:pPr>
        <w:pStyle w:val="0"/>
        <w:spacing w:before="200" w:lineRule="auto"/>
        <w:ind w:firstLine="540"/>
        <w:jc w:val="both"/>
      </w:pPr>
      <w:r>
        <w:rPr>
          <w:sz w:val="20"/>
        </w:rPr>
        <w:t xml:space="preserve">Министерству открывается доступ в системе "Электронный бюджет" к заявкам для их рассмотрения.</w:t>
      </w:r>
    </w:p>
    <w:bookmarkStart w:id="107" w:name="P107"/>
    <w:bookmarkEnd w:id="107"/>
    <w:p>
      <w:pPr>
        <w:pStyle w:val="0"/>
        <w:spacing w:before="200" w:lineRule="auto"/>
        <w:ind w:firstLine="540"/>
        <w:jc w:val="both"/>
      </w:pPr>
      <w:r>
        <w:rPr>
          <w:sz w:val="20"/>
        </w:rPr>
        <w:t xml:space="preserve">2.11. Министерство в день рассмотрения заявки:</w:t>
      </w:r>
    </w:p>
    <w:p>
      <w:pPr>
        <w:pStyle w:val="0"/>
        <w:spacing w:before="200" w:lineRule="auto"/>
        <w:ind w:firstLine="540"/>
        <w:jc w:val="both"/>
      </w:pPr>
      <w:r>
        <w:rPr>
          <w:sz w:val="20"/>
        </w:rPr>
        <w:t xml:space="preserve">а) на основании представленных участником отбора документов, поступившей информации, информации, размещаемой на официальных сайтах органов государственной власти, проверяет участника отбора на соответствие требованиям, определенным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пунктом 2.2</w:t>
        </w:r>
      </w:hyperlink>
      <w:r>
        <w:rPr>
          <w:sz w:val="20"/>
        </w:rPr>
        <w:t xml:space="preserve"> настоящего Порядка, и проставляет в электронном виде отметки о соответствии (несоответствии)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б) рассматривает представленные документы на предмет их соответствия установленным в объявлении о проведении отбора требованиям.</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Министерство в день рассмотрения заявки и в день заключения Соглашения осуществляет проверку полноты и достоверности содержащихся в документах сведений, а также проверку получателя гранта на соответствие:</w:t>
      </w:r>
    </w:p>
    <w:p>
      <w:pPr>
        <w:pStyle w:val="0"/>
        <w:spacing w:before="200" w:lineRule="auto"/>
        <w:ind w:firstLine="540"/>
        <w:jc w:val="both"/>
      </w:pPr>
      <w:r>
        <w:rPr>
          <w:sz w:val="20"/>
        </w:rPr>
        <w:t xml:space="preserve">- требованиям, установленным </w:t>
      </w:r>
      <w:hyperlink w:history="0" w:anchor="P50" w:tooltip="а) участник отбора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
        <w:r>
          <w:rPr>
            <w:sz w:val="20"/>
            <w:color w:val="0000ff"/>
          </w:rPr>
          <w:t xml:space="preserve">подпунктами "а"</w:t>
        </w:r>
      </w:hyperlink>
      <w:r>
        <w:rPr>
          <w:sz w:val="20"/>
        </w:rPr>
        <w:t xml:space="preserve"> и </w:t>
      </w:r>
      <w:hyperlink w:history="0" w:anchor="P55" w:tooltip="е)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"е" пункта 2.2</w:t>
        </w:r>
      </w:hyperlink>
      <w:r>
        <w:rPr>
          <w:sz w:val="20"/>
        </w:rPr>
        <w:t xml:space="preserve"> настоящего Порядка, на основании сведений из Единого государственного реестра юридических лиц на официальном сайте Федеральной налоговой службы путем использования сервиса "Предоставление сведений из ЕГРЮЛ/ЕГРИП в электронном виде";</w:t>
      </w:r>
    </w:p>
    <w:p>
      <w:pPr>
        <w:pStyle w:val="0"/>
        <w:spacing w:before="200" w:lineRule="auto"/>
        <w:ind w:firstLine="540"/>
        <w:jc w:val="both"/>
      </w:pPr>
      <w:r>
        <w:rPr>
          <w:sz w:val="20"/>
        </w:rPr>
        <w:t xml:space="preserve">- требованиям, установленным </w:t>
      </w:r>
      <w:hyperlink w:history="0" w:anchor="P51" w:tooltip="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"б" пункта 2.2</w:t>
        </w:r>
      </w:hyperlink>
      <w:r>
        <w:rPr>
          <w:sz w:val="20"/>
        </w:rPr>
        <w:t xml:space="preserve"> настоящего Порядка, на основании сведений, размещенных на странице "Перечень организаций и физических лиц, в отношении которых имеются сведения о причастности к экстремистской деятельности или терроризму" официального сайта Федеральной службы по финансовому мониторингу;</w:t>
      </w:r>
    </w:p>
    <w:p>
      <w:pPr>
        <w:pStyle w:val="0"/>
        <w:spacing w:before="200" w:lineRule="auto"/>
        <w:ind w:firstLine="540"/>
        <w:jc w:val="both"/>
      </w:pPr>
      <w:r>
        <w:rPr>
          <w:sz w:val="20"/>
        </w:rPr>
        <w:t xml:space="preserve">- требованиям, установленным </w:t>
      </w:r>
      <w:hyperlink w:history="0" w:anchor="P52" w:tooltip="в)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подпунктом "в" пункта 2.2</w:t>
        </w:r>
      </w:hyperlink>
      <w:r>
        <w:rPr>
          <w:sz w:val="20"/>
        </w:rPr>
        <w:t xml:space="preserve"> настоящего Порядка, на основании сведений, размещенных на странице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официального сайта Федеральной службы по финансовому мониторингу;</w:t>
      </w:r>
    </w:p>
    <w:p>
      <w:pPr>
        <w:pStyle w:val="0"/>
        <w:spacing w:before="200" w:lineRule="auto"/>
        <w:ind w:firstLine="540"/>
        <w:jc w:val="both"/>
      </w:pPr>
      <w:r>
        <w:rPr>
          <w:sz w:val="20"/>
        </w:rPr>
        <w:t xml:space="preserve">- требованиям, установленным </w:t>
      </w:r>
      <w:hyperlink w:history="0" w:anchor="P53" w:tooltip="г) участник отбора не получает средства из бюджета Воронежской области на основании иных нормативных правовых актов Воронежской области на цель, установленную пунктом 1.3 настоящего Порядка;">
        <w:r>
          <w:rPr>
            <w:sz w:val="20"/>
            <w:color w:val="0000ff"/>
          </w:rPr>
          <w:t xml:space="preserve">подпунктом "г" пункта 2.2</w:t>
        </w:r>
      </w:hyperlink>
      <w:r>
        <w:rPr>
          <w:sz w:val="20"/>
        </w:rPr>
        <w:t xml:space="preserve"> настоящего Порядка, на основании иных нормативных правовых актов Воронежской области и данных, полученных от главных распорядителей бюджетных средств, предоставляющих из областного бюджета субсидии получателю субсидии;</w:t>
      </w:r>
    </w:p>
    <w:p>
      <w:pPr>
        <w:pStyle w:val="0"/>
        <w:spacing w:before="200" w:lineRule="auto"/>
        <w:ind w:firstLine="540"/>
        <w:jc w:val="both"/>
      </w:pPr>
      <w:r>
        <w:rPr>
          <w:sz w:val="20"/>
        </w:rPr>
        <w:t xml:space="preserve">- требованиям, установленным </w:t>
      </w:r>
      <w:hyperlink w:history="0" w:anchor="P54" w:tooltip="д) участник отбора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подпунктом "д" пункта 2.2</w:t>
        </w:r>
      </w:hyperlink>
      <w:r>
        <w:rPr>
          <w:sz w:val="20"/>
        </w:rPr>
        <w:t xml:space="preserve"> настоящего Порядка, на основании сведений, размещенных на странице "Реестр иностранных агентов" официального сайта Министерства юстиции Российской Федерации;</w:t>
      </w:r>
    </w:p>
    <w:p>
      <w:pPr>
        <w:pStyle w:val="0"/>
        <w:spacing w:before="200" w:lineRule="auto"/>
        <w:ind w:firstLine="540"/>
        <w:jc w:val="both"/>
      </w:pPr>
      <w:r>
        <w:rPr>
          <w:sz w:val="20"/>
        </w:rPr>
        <w:t xml:space="preserve">- требованиям, установленным </w:t>
      </w:r>
      <w:hyperlink w:history="0" w:anchor="P56" w:tooltip="ж) у участника отбора отсутствуют просроченная задолженность по возврату в бюджет Воронежской области иных субсидий, бюджетных инвестиций, а также иная просроченная (неурегулированная) задолженность по денежным обязательствам перед Воронежской областью (за исключением случаев, установленных Правительством Воронежской области);">
        <w:r>
          <w:rPr>
            <w:sz w:val="20"/>
            <w:color w:val="0000ff"/>
          </w:rPr>
          <w:t xml:space="preserve">подпунктом "ж" пункта 2.2</w:t>
        </w:r>
      </w:hyperlink>
      <w:r>
        <w:rPr>
          <w:sz w:val="20"/>
        </w:rPr>
        <w:t xml:space="preserve"> настоящего Порядка, посредством единой системы межведомственного электронного взаимодействия;</w:t>
      </w:r>
    </w:p>
    <w:p>
      <w:pPr>
        <w:pStyle w:val="0"/>
        <w:spacing w:before="200" w:lineRule="auto"/>
        <w:ind w:firstLine="540"/>
        <w:jc w:val="both"/>
      </w:pPr>
      <w:r>
        <w:rPr>
          <w:sz w:val="20"/>
        </w:rPr>
        <w:t xml:space="preserve">- требованиям, установленным </w:t>
      </w:r>
      <w:hyperlink w:history="0" w:anchor="P57" w:tooltip="з) 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w:r>
          <w:rPr>
            <w:sz w:val="20"/>
            <w:color w:val="0000ff"/>
          </w:rPr>
          <w:t xml:space="preserve">подпунктами "з"</w:t>
        </w:r>
      </w:hyperlink>
      <w:r>
        <w:rPr>
          <w:sz w:val="20"/>
        </w:rPr>
        <w:t xml:space="preserve"> и </w:t>
      </w:r>
      <w:hyperlink w:history="0" w:anchor="P58" w:tooltip="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w:r>
          <w:rPr>
            <w:sz w:val="20"/>
            <w:color w:val="0000ff"/>
          </w:rPr>
          <w:t xml:space="preserve">"и" пункта 2.2</w:t>
        </w:r>
      </w:hyperlink>
      <w:r>
        <w:rPr>
          <w:sz w:val="20"/>
        </w:rPr>
        <w:t xml:space="preserve"> настоящего Порядка, на основании сведений, размещенных на странице "Поиск сведений в реестре дисквалифицированных лиц" официального сайта Федеральной налоговой службы.</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подтверждение соответствия участника отбора требованиям, указанным в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пункте 2.2</w:t>
        </w:r>
      </w:hyperlink>
      <w:r>
        <w:rPr>
          <w:sz w:val="20"/>
        </w:rPr>
        <w:t xml:space="preserve"> настоящего Порядка,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2.12. Министерство на этапе приема заявок принимает решение о возврате заявки на доработку при наличии соответствующих оснований.</w:t>
      </w:r>
    </w:p>
    <w:p>
      <w:pPr>
        <w:pStyle w:val="0"/>
        <w:spacing w:before="200" w:lineRule="auto"/>
        <w:ind w:firstLine="540"/>
        <w:jc w:val="both"/>
      </w:pPr>
      <w:r>
        <w:rPr>
          <w:sz w:val="20"/>
        </w:rPr>
        <w:t xml:space="preserve">Решение о возврате на доработку принимается в равной мере ко всем участникам отбора, при рассмотрении заявок которых выявлены основания для их возврата на доработку, а также доводится до участников отбора с использованием системы "Электронный бюджет" с указанием оснований для возврата заявки, а также положений заявки, нуждающихся в доработке.</w:t>
      </w:r>
    </w:p>
    <w:p>
      <w:pPr>
        <w:pStyle w:val="0"/>
        <w:spacing w:before="200" w:lineRule="auto"/>
        <w:ind w:firstLine="540"/>
        <w:jc w:val="both"/>
      </w:pPr>
      <w:r>
        <w:rPr>
          <w:sz w:val="20"/>
        </w:rPr>
        <w:t xml:space="preserve">Участник отбора в течение 2 рабочих дней после возврата его заявки на доработку, но не позднее даты окончания приема заявок должен направить скорректированную заявку в порядке, аналогичном порядку подачи заявки.</w:t>
      </w:r>
    </w:p>
    <w:p>
      <w:pPr>
        <w:pStyle w:val="0"/>
        <w:spacing w:before="200" w:lineRule="auto"/>
        <w:ind w:firstLine="540"/>
        <w:jc w:val="both"/>
      </w:pPr>
      <w:r>
        <w:rPr>
          <w:sz w:val="20"/>
        </w:rPr>
        <w:t xml:space="preserve">Основаниями для возврата заявки на доработку являются:</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настоящем Порядке;</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определенным настоящим Порядком;</w:t>
      </w:r>
    </w:p>
    <w:p>
      <w:pPr>
        <w:pStyle w:val="0"/>
        <w:spacing w:before="200" w:lineRule="auto"/>
        <w:ind w:firstLine="540"/>
        <w:jc w:val="both"/>
      </w:pPr>
      <w:r>
        <w:rPr>
          <w:sz w:val="20"/>
        </w:rPr>
        <w:t xml:space="preserve">- арифметические ошибки, описки, опечатки, недостоверность информации, содержащейся в документах, представленных участником отбора.</w:t>
      </w:r>
    </w:p>
    <w:p>
      <w:pPr>
        <w:pStyle w:val="0"/>
        <w:spacing w:before="200" w:lineRule="auto"/>
        <w:ind w:firstLine="540"/>
        <w:jc w:val="both"/>
      </w:pPr>
      <w:r>
        <w:rPr>
          <w:sz w:val="20"/>
        </w:rPr>
        <w:t xml:space="preserve">2.13. Не позднее 1 рабочего дня, следующего за днем окончания приема заявок, на едином портале автоматически формируется протокол вскрытия заявок, который подписывается усиленной квалифицированной электронной подписью министра культуры Воронежской области в системе "Электронный бюджет" и размещается на едином портале не позднее 1-го рабочего дня, следующего за днем его подписания.</w:t>
      </w:r>
    </w:p>
    <w:bookmarkStart w:id="127" w:name="P127"/>
    <w:bookmarkEnd w:id="127"/>
    <w:p>
      <w:pPr>
        <w:pStyle w:val="0"/>
        <w:spacing w:before="200" w:lineRule="auto"/>
        <w:ind w:firstLine="540"/>
        <w:jc w:val="both"/>
      </w:pPr>
      <w:r>
        <w:rPr>
          <w:sz w:val="20"/>
        </w:rPr>
        <w:t xml:space="preserve">2.14. Министерство в течение 10 рабочих дней с даты окончания приема заявок рассматривает заявки на предмет соответствия требованиям и условиям, установленным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w:t>
      </w:r>
      <w:hyperlink w:history="0" w:anchor="P59"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w:t>
      </w:r>
    </w:p>
    <w:p>
      <w:pPr>
        <w:pStyle w:val="0"/>
        <w:spacing w:before="200" w:lineRule="auto"/>
        <w:ind w:firstLine="540"/>
        <w:jc w:val="both"/>
      </w:pPr>
      <w:r>
        <w:rPr>
          <w:sz w:val="20"/>
        </w:rPr>
        <w:t xml:space="preserve">Заявка признается надлежащей, если она соответствует требованиям и условиям, указанным в объявлении о проведении отбора, и отсутствуют основания для ее отклонения.</w:t>
      </w:r>
    </w:p>
    <w:p>
      <w:pPr>
        <w:pStyle w:val="0"/>
        <w:spacing w:before="200" w:lineRule="auto"/>
        <w:ind w:firstLine="540"/>
        <w:jc w:val="both"/>
      </w:pPr>
      <w:r>
        <w:rPr>
          <w:sz w:val="20"/>
        </w:rPr>
        <w:t xml:space="preserve">2.15. Основаниями для отклонения заявки участника отбора являются:</w:t>
      </w:r>
    </w:p>
    <w:p>
      <w:pPr>
        <w:pStyle w:val="0"/>
        <w:spacing w:before="200" w:lineRule="auto"/>
        <w:ind w:firstLine="540"/>
        <w:jc w:val="both"/>
      </w:pPr>
      <w:r>
        <w:rPr>
          <w:sz w:val="20"/>
        </w:rPr>
        <w:t xml:space="preserve">- несоответствие участника отбора требованиям и условиям, установленным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и </w:t>
      </w:r>
      <w:hyperlink w:history="0" w:anchor="P59"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настоящего Порядка;</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объявлении о проведении отбора, предусмотренных настоящим Порядком;</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pPr>
        <w:pStyle w:val="0"/>
        <w:spacing w:before="200" w:lineRule="auto"/>
        <w:ind w:firstLine="540"/>
        <w:jc w:val="both"/>
      </w:pPr>
      <w:r>
        <w:rPr>
          <w:sz w:val="20"/>
        </w:rPr>
        <w:t xml:space="preserve">-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 и условиям;</w:t>
      </w:r>
    </w:p>
    <w:p>
      <w:pPr>
        <w:pStyle w:val="0"/>
        <w:spacing w:before="200" w:lineRule="auto"/>
        <w:ind w:firstLine="540"/>
        <w:jc w:val="both"/>
      </w:pPr>
      <w:r>
        <w:rPr>
          <w:sz w:val="20"/>
        </w:rPr>
        <w:t xml:space="preserve">-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2.16. Решение о соответствии заявки требованиям и условиям, указанным в объявлении о проведении отбора, принимается Министерством не позднее 10 рабочих дней, следующих за днем окончания подачи заявок, путем проставления соответствующей отметки в системе "Электронный бюджет".</w:t>
      </w:r>
    </w:p>
    <w:p>
      <w:pPr>
        <w:pStyle w:val="0"/>
        <w:spacing w:before="200" w:lineRule="auto"/>
        <w:ind w:firstLine="540"/>
        <w:jc w:val="both"/>
      </w:pPr>
      <w:r>
        <w:rPr>
          <w:sz w:val="20"/>
        </w:rPr>
        <w:t xml:space="preserve">Заявка отклоняется Министерством в случае наличия оснований для отклонения заявки путем проставления соответствующей отметки в системе "Электронный бюджет".</w:t>
      </w:r>
    </w:p>
    <w:p>
      <w:pPr>
        <w:pStyle w:val="0"/>
        <w:spacing w:before="200" w:lineRule="auto"/>
        <w:ind w:firstLine="540"/>
        <w:jc w:val="both"/>
      </w:pPr>
      <w:r>
        <w:rPr>
          <w:sz w:val="20"/>
        </w:rPr>
        <w:t xml:space="preserve">Поступившие заявки ранжируются исходя из очередности поступления заявок.</w:t>
      </w:r>
    </w:p>
    <w:p>
      <w:pPr>
        <w:pStyle w:val="0"/>
        <w:spacing w:before="200" w:lineRule="auto"/>
        <w:ind w:firstLine="540"/>
        <w:jc w:val="both"/>
      </w:pPr>
      <w:r>
        <w:rPr>
          <w:sz w:val="20"/>
        </w:rPr>
        <w:t xml:space="preserve">На основании результатов рассмотрения заявок на едином портале автоматически формируется протокол рассмотрения заявок, который подписывается усиленной квалифицированной электронной подписью министра культуры Воронежской области в системе "Электронный бюджет" и размещается на едином портале не позднее 1-го рабочего дня, следующего за днем его подписания.</w:t>
      </w:r>
    </w:p>
    <w:bookmarkStart w:id="139" w:name="P139"/>
    <w:bookmarkEnd w:id="139"/>
    <w:p>
      <w:pPr>
        <w:pStyle w:val="0"/>
        <w:spacing w:before="200" w:lineRule="auto"/>
        <w:ind w:firstLine="540"/>
        <w:jc w:val="both"/>
      </w:pPr>
      <w:r>
        <w:rPr>
          <w:sz w:val="20"/>
        </w:rPr>
        <w:t xml:space="preserve">2.17. Принятые заявки с прилагаемыми к ним документами подлежат оценке по </w:t>
      </w:r>
      <w:hyperlink w:history="0" w:anchor="P408" w:tooltip="Критерии оценки заявки участников отбора">
        <w:r>
          <w:rPr>
            <w:sz w:val="20"/>
            <w:color w:val="0000ff"/>
          </w:rPr>
          <w:t xml:space="preserve">критериям</w:t>
        </w:r>
      </w:hyperlink>
      <w:r>
        <w:rPr>
          <w:sz w:val="20"/>
        </w:rPr>
        <w:t xml:space="preserve">, установленным в приложении N 3 к настоящему Порядку (далее - критерии оценки), в течение 20 рабочих дней с даты окончания приема заявок.</w:t>
      </w:r>
    </w:p>
    <w:p>
      <w:pPr>
        <w:pStyle w:val="0"/>
        <w:spacing w:before="200" w:lineRule="auto"/>
        <w:ind w:firstLine="540"/>
        <w:jc w:val="both"/>
      </w:pPr>
      <w:r>
        <w:rPr>
          <w:sz w:val="20"/>
        </w:rPr>
        <w:t xml:space="preserve">Начисление баллов по критериям оценки осуществляется с использованием 100-балльной шкалы оценки.</w:t>
      </w:r>
    </w:p>
    <w:p>
      <w:pPr>
        <w:pStyle w:val="0"/>
        <w:spacing w:before="200" w:lineRule="auto"/>
        <w:ind w:firstLine="540"/>
        <w:jc w:val="both"/>
      </w:pPr>
      <w:r>
        <w:rPr>
          <w:sz w:val="20"/>
        </w:rPr>
        <w:t xml:space="preserve">Сумма величин значимости всех применяемых критериев оценки составляет 100%.</w:t>
      </w:r>
    </w:p>
    <w:p>
      <w:pPr>
        <w:pStyle w:val="0"/>
        <w:spacing w:before="200" w:lineRule="auto"/>
        <w:ind w:firstLine="540"/>
        <w:jc w:val="both"/>
      </w:pPr>
      <w:r>
        <w:rPr>
          <w:sz w:val="20"/>
        </w:rPr>
        <w:t xml:space="preserve">В зависимости от количества набранных баллов формируется рейтинг и присваиваются порядковые номера: занятие соответствующей позиции производится по убыванию количества набранных баллов от большего к меньшему. В случае равного количества набранных баллов позиция в рейтинге определяется с учетом очередности поступления заявок.</w:t>
      </w:r>
    </w:p>
    <w:p>
      <w:pPr>
        <w:pStyle w:val="0"/>
        <w:spacing w:before="200" w:lineRule="auto"/>
        <w:ind w:firstLine="540"/>
        <w:jc w:val="both"/>
      </w:pPr>
      <w:r>
        <w:rPr>
          <w:sz w:val="20"/>
        </w:rPr>
        <w:t xml:space="preserve">2.18. С целью проведения оценки представленных участниками отбора программ (проектов) создается комиссия по рассмотрению заявок и оценке программ (проектов) участников отбора для предоставления грантов (далее - комиссия), состав которой утверждается приказом Министерства.</w:t>
      </w:r>
    </w:p>
    <w:p>
      <w:pPr>
        <w:pStyle w:val="0"/>
        <w:spacing w:before="200" w:lineRule="auto"/>
        <w:ind w:firstLine="540"/>
        <w:jc w:val="both"/>
      </w:pPr>
      <w:r>
        <w:rPr>
          <w:sz w:val="20"/>
        </w:rPr>
        <w:t xml:space="preserve">Комиссия создается в составе не менее 9 человек. Число членов комиссии должно быть нечетным.</w:t>
      </w:r>
    </w:p>
    <w:p>
      <w:pPr>
        <w:pStyle w:val="0"/>
        <w:spacing w:before="200" w:lineRule="auto"/>
        <w:ind w:firstLine="540"/>
        <w:jc w:val="both"/>
      </w:pPr>
      <w:r>
        <w:rPr>
          <w:sz w:val="20"/>
        </w:rPr>
        <w:t xml:space="preserve">Членами комиссии могут быть представители государственных (муниципальных) учреждений и общественных организаций (объединений), осуществляющих деятельность в области культуры и искусства, образовательных и научных организаций, обладающих познаниями в сфере культуры и искусства, Общественного совета при Министерстве, а также сотрудники Министерства.</w:t>
      </w:r>
    </w:p>
    <w:p>
      <w:pPr>
        <w:pStyle w:val="0"/>
        <w:spacing w:before="200" w:lineRule="auto"/>
        <w:ind w:firstLine="540"/>
        <w:jc w:val="both"/>
      </w:pPr>
      <w:r>
        <w:rPr>
          <w:sz w:val="20"/>
        </w:rPr>
        <w:t xml:space="preserve">Министерство осуществляет организационное обеспечение деятельности комиссии.</w:t>
      </w:r>
    </w:p>
    <w:p>
      <w:pPr>
        <w:pStyle w:val="0"/>
        <w:spacing w:before="200" w:lineRule="auto"/>
        <w:ind w:firstLine="540"/>
        <w:jc w:val="both"/>
      </w:pPr>
      <w:r>
        <w:rPr>
          <w:sz w:val="20"/>
        </w:rPr>
        <w:t xml:space="preserve">Оценка программ (проектов) участников отбора осуществляется комиссией в соответствии с </w:t>
      </w:r>
      <w:hyperlink w:history="0" w:anchor="P139" w:tooltip="2.17. Принятые заявки с прилагаемыми к ним документами подлежат оценке по критериям, установленным в приложении N 3 к настоящему Порядку (далее - критерии оценки), в течение 20 рабочих дней с даты окончания приема заявок.">
        <w:r>
          <w:rPr>
            <w:sz w:val="20"/>
            <w:color w:val="0000ff"/>
          </w:rPr>
          <w:t xml:space="preserve">пунктом 2.17</w:t>
        </w:r>
      </w:hyperlink>
      <w:r>
        <w:rPr>
          <w:sz w:val="20"/>
        </w:rPr>
        <w:t xml:space="preserve"> настоящего Порядка.</w:t>
      </w:r>
    </w:p>
    <w:p>
      <w:pPr>
        <w:pStyle w:val="0"/>
        <w:spacing w:before="200" w:lineRule="auto"/>
        <w:ind w:firstLine="540"/>
        <w:jc w:val="both"/>
      </w:pPr>
      <w:r>
        <w:rPr>
          <w:sz w:val="20"/>
        </w:rPr>
        <w:t xml:space="preserve">На основании результатов определения победителя (победителей) отбора на едином портале автоматически формируется протокол подведения итогов отбора, который подписывается усиленной квалифицированной электронной подписью министра культуры Воронежской области в системе "Электронный бюджет" и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2.19. Протокол подведения итогов размещается на официальной странице Министерства в информационной системе "Портал Воронежской области в сети "Интернет" не позднее 3 рабочих дней, следующих за днем подписания протокола подведения итогов отбора, и должен содержать следующие сведения:</w:t>
      </w:r>
    </w:p>
    <w:p>
      <w:pPr>
        <w:pStyle w:val="0"/>
        <w:spacing w:before="200" w:lineRule="auto"/>
        <w:ind w:firstLine="540"/>
        <w:jc w:val="both"/>
      </w:pPr>
      <w:r>
        <w:rPr>
          <w:sz w:val="20"/>
        </w:rPr>
        <w:t xml:space="preserve">- дата, время и место проведения рассмотрения заявок;</w:t>
      </w:r>
    </w:p>
    <w:p>
      <w:pPr>
        <w:pStyle w:val="0"/>
        <w:spacing w:before="200" w:lineRule="auto"/>
        <w:ind w:firstLine="540"/>
        <w:jc w:val="both"/>
      </w:pPr>
      <w:r>
        <w:rPr>
          <w:sz w:val="20"/>
        </w:rPr>
        <w:t xml:space="preserve">- информация об участниках отбора, заявки которых были рассмотрены;</w:t>
      </w:r>
    </w:p>
    <w:p>
      <w:pPr>
        <w:pStyle w:val="0"/>
        <w:spacing w:before="200" w:lineRule="auto"/>
        <w:ind w:firstLine="540"/>
        <w:jc w:val="both"/>
      </w:pPr>
      <w:r>
        <w:rPr>
          <w:sz w:val="20"/>
        </w:rPr>
        <w:t xml:space="preserve">-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pPr>
        <w:pStyle w:val="0"/>
        <w:spacing w:before="200" w:lineRule="auto"/>
        <w:ind w:firstLine="540"/>
        <w:jc w:val="both"/>
      </w:pPr>
      <w:r>
        <w:rPr>
          <w:sz w:val="20"/>
        </w:rPr>
        <w:t xml:space="preserve">- последовательность оценки заявок, присвоенные заявкам значения по каждому из предусмотренных критериев оценки заявок, принятое на основании результатов оценки заявок решение о присвоении таким заявкам порядковых номеров;</w:t>
      </w:r>
    </w:p>
    <w:p>
      <w:pPr>
        <w:pStyle w:val="0"/>
        <w:spacing w:before="200" w:lineRule="auto"/>
        <w:ind w:firstLine="540"/>
        <w:jc w:val="both"/>
      </w:pPr>
      <w:r>
        <w:rPr>
          <w:sz w:val="20"/>
        </w:rPr>
        <w:t xml:space="preserve">- наименование получателя (получателей) гранта, с которым (которыми) заключается Соглашение, и размер предоставляемого ему гранта.</w:t>
      </w:r>
    </w:p>
    <w:p>
      <w:pPr>
        <w:pStyle w:val="0"/>
        <w:spacing w:before="200" w:lineRule="auto"/>
        <w:ind w:firstLine="540"/>
        <w:jc w:val="both"/>
      </w:pPr>
      <w:r>
        <w:rPr>
          <w:sz w:val="20"/>
        </w:rPr>
        <w:t xml:space="preserve">В протокол подведения итогов отбора могут быть внесены изменения не позднее 10 календарных дней со дня подписания его первой версии путем формирования новой версии протокола с указанием причин внесения изменений.</w:t>
      </w:r>
    </w:p>
    <w:p>
      <w:pPr>
        <w:pStyle w:val="0"/>
        <w:spacing w:before="200" w:lineRule="auto"/>
        <w:ind w:firstLine="540"/>
        <w:jc w:val="both"/>
      </w:pPr>
      <w:r>
        <w:rPr>
          <w:sz w:val="20"/>
        </w:rPr>
        <w:t xml:space="preserve">В случае внесения изменений в закон Воронежской области об областном бюджете на соответствующий финансовый год и на плановый период в части исключения предоставления субсидии Министерство в течение 5 рабочих дней отменяет проведение отбора.</w:t>
      </w:r>
    </w:p>
    <w:p>
      <w:pPr>
        <w:pStyle w:val="0"/>
        <w:spacing w:before="200" w:lineRule="auto"/>
        <w:ind w:firstLine="540"/>
        <w:jc w:val="both"/>
      </w:pPr>
      <w:r>
        <w:rPr>
          <w:sz w:val="20"/>
        </w:rPr>
        <w:t xml:space="preserve">Министерством формируется объявление об отмене проведения отбора, которое размещается тем же способом, каким размещается объявление о проведении отбора.</w:t>
      </w:r>
    </w:p>
    <w:p>
      <w:pPr>
        <w:pStyle w:val="0"/>
        <w:spacing w:before="200" w:lineRule="auto"/>
        <w:ind w:firstLine="540"/>
        <w:jc w:val="both"/>
      </w:pPr>
      <w:r>
        <w:rPr>
          <w:sz w:val="20"/>
        </w:rPr>
        <w:t xml:space="preserve">В случае отсутствия заявок отбор признается несостоявшимся.</w:t>
      </w:r>
    </w:p>
    <w:bookmarkStart w:id="159" w:name="P159"/>
    <w:bookmarkEnd w:id="159"/>
    <w:p>
      <w:pPr>
        <w:pStyle w:val="0"/>
        <w:spacing w:before="200" w:lineRule="auto"/>
        <w:ind w:firstLine="540"/>
        <w:jc w:val="both"/>
      </w:pPr>
      <w:r>
        <w:rPr>
          <w:sz w:val="20"/>
        </w:rPr>
        <w:t xml:space="preserve">2.20. Гранты предоставляются в целях финансового обеспечения следующих расходов, связанных с реализацией программы (проекта) в сфере культуры:</w:t>
      </w:r>
    </w:p>
    <w:p>
      <w:pPr>
        <w:pStyle w:val="0"/>
        <w:spacing w:before="200" w:lineRule="auto"/>
        <w:ind w:firstLine="540"/>
        <w:jc w:val="both"/>
      </w:pPr>
      <w:r>
        <w:rPr>
          <w:sz w:val="20"/>
        </w:rPr>
        <w:t xml:space="preserve">- оплата труда штатных работников, участвующих в реализации программы (проекта);</w:t>
      </w:r>
    </w:p>
    <w:p>
      <w:pPr>
        <w:pStyle w:val="0"/>
        <w:spacing w:before="200" w:lineRule="auto"/>
        <w:ind w:firstLine="540"/>
        <w:jc w:val="both"/>
      </w:pPr>
      <w:r>
        <w:rPr>
          <w:sz w:val="20"/>
        </w:rPr>
        <w:t xml:space="preserve">- приобретение основных средств и программного обеспечения для реализации программы (проекта);</w:t>
      </w:r>
    </w:p>
    <w:p>
      <w:pPr>
        <w:pStyle w:val="0"/>
        <w:spacing w:before="200" w:lineRule="auto"/>
        <w:ind w:firstLine="540"/>
        <w:jc w:val="both"/>
      </w:pPr>
      <w:r>
        <w:rPr>
          <w:sz w:val="20"/>
        </w:rPr>
        <w:t xml:space="preserve">- аренда помещений, оборудования для проведения мероприятий в соответствии с программой (проектом);</w:t>
      </w:r>
    </w:p>
    <w:p>
      <w:pPr>
        <w:pStyle w:val="0"/>
        <w:spacing w:before="200" w:lineRule="auto"/>
        <w:ind w:firstLine="540"/>
        <w:jc w:val="both"/>
      </w:pPr>
      <w:r>
        <w:rPr>
          <w:sz w:val="20"/>
        </w:rPr>
        <w:t xml:space="preserve">- оплата коммунальных услуг в рамках реализации программы (проекта);</w:t>
      </w:r>
    </w:p>
    <w:p>
      <w:pPr>
        <w:pStyle w:val="0"/>
        <w:spacing w:before="200" w:lineRule="auto"/>
        <w:ind w:firstLine="540"/>
        <w:jc w:val="both"/>
      </w:pPr>
      <w:r>
        <w:rPr>
          <w:sz w:val="20"/>
        </w:rPr>
        <w:t xml:space="preserve">- приобретение канцелярских товаров и расходных материалов на реализацию программы (проекта);</w:t>
      </w:r>
    </w:p>
    <w:p>
      <w:pPr>
        <w:pStyle w:val="0"/>
        <w:spacing w:before="200" w:lineRule="auto"/>
        <w:ind w:firstLine="540"/>
        <w:jc w:val="both"/>
      </w:pPr>
      <w:r>
        <w:rPr>
          <w:sz w:val="20"/>
        </w:rPr>
        <w:t xml:space="preserve">- оплата услуг связи в рамках реализации программы (проекта);</w:t>
      </w:r>
    </w:p>
    <w:p>
      <w:pPr>
        <w:pStyle w:val="0"/>
        <w:spacing w:before="200" w:lineRule="auto"/>
        <w:ind w:firstLine="540"/>
        <w:jc w:val="both"/>
      </w:pPr>
      <w:r>
        <w:rPr>
          <w:sz w:val="20"/>
        </w:rPr>
        <w:t xml:space="preserve">- издательские расходы в рамках реализации программы (проекта);</w:t>
      </w:r>
    </w:p>
    <w:p>
      <w:pPr>
        <w:pStyle w:val="0"/>
        <w:spacing w:before="200" w:lineRule="auto"/>
        <w:ind w:firstLine="540"/>
        <w:jc w:val="both"/>
      </w:pPr>
      <w:r>
        <w:rPr>
          <w:sz w:val="20"/>
        </w:rPr>
        <w:t xml:space="preserve">- вознаграждения лицам, привлекаемым по гражданско-правовым договорам;</w:t>
      </w:r>
    </w:p>
    <w:p>
      <w:pPr>
        <w:pStyle w:val="0"/>
        <w:spacing w:before="200" w:lineRule="auto"/>
        <w:ind w:firstLine="540"/>
        <w:jc w:val="both"/>
      </w:pPr>
      <w:r>
        <w:rPr>
          <w:sz w:val="20"/>
        </w:rPr>
        <w:t xml:space="preserve">- командировочные расходы в рамках реализации программы (проекта);</w:t>
      </w:r>
    </w:p>
    <w:p>
      <w:pPr>
        <w:pStyle w:val="0"/>
        <w:spacing w:before="200" w:lineRule="auto"/>
        <w:ind w:firstLine="540"/>
        <w:jc w:val="both"/>
      </w:pPr>
      <w:r>
        <w:rPr>
          <w:sz w:val="20"/>
        </w:rPr>
        <w:t xml:space="preserve">- уплата налогов, сборов, страховых взносов и иных обязательных платежей в бюджетную систему Российской Федерации;</w:t>
      </w:r>
    </w:p>
    <w:p>
      <w:pPr>
        <w:pStyle w:val="0"/>
        <w:spacing w:before="200" w:lineRule="auto"/>
        <w:ind w:firstLine="540"/>
        <w:jc w:val="both"/>
      </w:pPr>
      <w:r>
        <w:rPr>
          <w:sz w:val="20"/>
        </w:rPr>
        <w:t xml:space="preserve">- прочие расходы, связанные с реализацией мероприятий программы (проекта).</w:t>
      </w:r>
    </w:p>
    <w:p>
      <w:pPr>
        <w:pStyle w:val="0"/>
        <w:spacing w:before="200" w:lineRule="auto"/>
        <w:ind w:firstLine="540"/>
        <w:jc w:val="both"/>
      </w:pPr>
      <w:r>
        <w:rPr>
          <w:sz w:val="20"/>
        </w:rPr>
        <w:t xml:space="preserve">2.21. Не допускается расходование грантов на финансирование следующих затрат:</w:t>
      </w:r>
    </w:p>
    <w:p>
      <w:pPr>
        <w:pStyle w:val="0"/>
        <w:spacing w:before="200" w:lineRule="auto"/>
        <w:ind w:firstLine="540"/>
        <w:jc w:val="both"/>
      </w:pPr>
      <w:r>
        <w:rPr>
          <w:sz w:val="20"/>
        </w:rPr>
        <w:t xml:space="preserve">- оказание материальной помощи, а также платных услуг населению;</w:t>
      </w:r>
    </w:p>
    <w:p>
      <w:pPr>
        <w:pStyle w:val="0"/>
        <w:spacing w:before="200" w:lineRule="auto"/>
        <w:ind w:firstLine="540"/>
        <w:jc w:val="both"/>
      </w:pPr>
      <w:r>
        <w:rPr>
          <w:sz w:val="20"/>
        </w:rPr>
        <w:t xml:space="preserve">- проведение митингов, демонстраций, пикетирования;</w:t>
      </w:r>
    </w:p>
    <w:p>
      <w:pPr>
        <w:pStyle w:val="0"/>
        <w:spacing w:before="200" w:lineRule="auto"/>
        <w:ind w:firstLine="540"/>
        <w:jc w:val="both"/>
      </w:pPr>
      <w:r>
        <w:rPr>
          <w:sz w:val="20"/>
        </w:rPr>
        <w:t xml:space="preserve">- осуществление предпринимательской деятельности и оказание помощи коммерческим организациям;</w:t>
      </w:r>
    </w:p>
    <w:p>
      <w:pPr>
        <w:pStyle w:val="0"/>
        <w:spacing w:before="200" w:lineRule="auto"/>
        <w:ind w:firstLine="540"/>
        <w:jc w:val="both"/>
      </w:pPr>
      <w:r>
        <w:rPr>
          <w:sz w:val="20"/>
        </w:rPr>
        <w:t xml:space="preserve">- осуществление деятельности, напрямую не связанной с реализацией программ (проектов), указанных в </w:t>
      </w:r>
      <w:hyperlink w:history="0" w:anchor="P40" w:tooltip="1.3. Целью предоставления грантов является финансовое обеспечение затрат некоммерческих организаций, осуществляющих деятельность в сфере культуры, реализующих программы (проекты) в рамках комплекса процессных мероприятий &quot;Развитие институтов гражданского общества Воронежской области&quot; государственной программы Воронежской области &quot;Общественное доверие и реализация государственной национальной политики в Воронежской области&quot;, утвержденной постановлением Правительства Воронежской области от 20.09.2024 N 650...">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 поддержка политических партий и компаний;</w:t>
      </w:r>
    </w:p>
    <w:p>
      <w:pPr>
        <w:pStyle w:val="0"/>
        <w:spacing w:before="200" w:lineRule="auto"/>
        <w:ind w:firstLine="540"/>
        <w:jc w:val="both"/>
      </w:pPr>
      <w:r>
        <w:rPr>
          <w:sz w:val="20"/>
        </w:rPr>
        <w:t xml:space="preserve">- проведение фундаментальных научных исследований;</w:t>
      </w:r>
    </w:p>
    <w:p>
      <w:pPr>
        <w:pStyle w:val="0"/>
        <w:spacing w:before="200" w:lineRule="auto"/>
        <w:ind w:firstLine="540"/>
        <w:jc w:val="both"/>
      </w:pPr>
      <w:r>
        <w:rPr>
          <w:sz w:val="20"/>
        </w:rPr>
        <w:t xml:space="preserve">- уплата пеней, штрафов.</w:t>
      </w:r>
    </w:p>
    <w:p>
      <w:pPr>
        <w:pStyle w:val="0"/>
        <w:spacing w:before="200" w:lineRule="auto"/>
        <w:ind w:firstLine="540"/>
        <w:jc w:val="both"/>
      </w:pPr>
      <w:r>
        <w:rPr>
          <w:sz w:val="20"/>
        </w:rPr>
        <w:t xml:space="preserve">2.22. За счет предоставленного гранта получатель гранта не вправе осуществлять расходы, которые не имеют прямого и непосредственного отношения к реализации мероприятий программы (проекта).</w:t>
      </w:r>
    </w:p>
    <w:p>
      <w:pPr>
        <w:pStyle w:val="0"/>
        <w:spacing w:before="200" w:lineRule="auto"/>
        <w:ind w:firstLine="540"/>
        <w:jc w:val="both"/>
      </w:pPr>
      <w:r>
        <w:rPr>
          <w:sz w:val="20"/>
        </w:rPr>
        <w:t xml:space="preserve">2.23. Максимальный размер гранта, предоставляемого одному получателю гранта по итогам проведения конкурса, не может превышать 50% от общего объема средств, утвержденных Министерству для предоставления грантов в областном бюджете на текущий финансовый год.</w:t>
      </w:r>
    </w:p>
    <w:p>
      <w:pPr>
        <w:pStyle w:val="0"/>
        <w:spacing w:before="200" w:lineRule="auto"/>
        <w:ind w:firstLine="540"/>
        <w:jc w:val="both"/>
      </w:pPr>
      <w:r>
        <w:rPr>
          <w:sz w:val="20"/>
        </w:rPr>
        <w:t xml:space="preserve">Заявки, содержащие запрашиваемый размер гранта, превышающий максимальный размер гранта, к участию в отборе не допускаются.</w:t>
      </w:r>
    </w:p>
    <w:p>
      <w:pPr>
        <w:pStyle w:val="0"/>
        <w:spacing w:before="200" w:lineRule="auto"/>
        <w:ind w:firstLine="540"/>
        <w:jc w:val="both"/>
      </w:pPr>
      <w:r>
        <w:rPr>
          <w:sz w:val="20"/>
        </w:rPr>
        <w:t xml:space="preserve">Гранты предоставляются при условии софинансирования получателями грантов расходов, связанных с реализацией программы (проекта) в сфере культуры, в размере не менее 10% от размера расходов, предусмотренных на реализацию программы (проекта).</w:t>
      </w:r>
    </w:p>
    <w:bookmarkStart w:id="183" w:name="P183"/>
    <w:bookmarkEnd w:id="183"/>
    <w:p>
      <w:pPr>
        <w:pStyle w:val="0"/>
        <w:spacing w:before="200" w:lineRule="auto"/>
        <w:ind w:firstLine="540"/>
        <w:jc w:val="both"/>
      </w:pPr>
      <w:r>
        <w:rPr>
          <w:sz w:val="20"/>
        </w:rPr>
        <w:t xml:space="preserve">2.24. Размер гранта, предоставляемого получателю гранта, определяется по следующей формуле:</w:t>
      </w:r>
    </w:p>
    <w:p>
      <w:pPr>
        <w:pStyle w:val="0"/>
        <w:ind w:firstLine="540"/>
        <w:jc w:val="both"/>
      </w:pPr>
      <w:r>
        <w:rPr>
          <w:sz w:val="20"/>
        </w:rPr>
      </w:r>
    </w:p>
    <w:p>
      <w:pPr>
        <w:pStyle w:val="0"/>
        <w:ind w:firstLine="540"/>
        <w:jc w:val="both"/>
      </w:pPr>
      <w:r>
        <w:rPr>
          <w:sz w:val="20"/>
        </w:rPr>
        <w:t xml:space="preserve">Vсубс = (V1 + V2 + V3 + V4 + V5 + V6 + V7 + V8 + V9 + V10 + V11) x (1 - Dсс), где:</w:t>
      </w:r>
    </w:p>
    <w:p>
      <w:pPr>
        <w:pStyle w:val="0"/>
        <w:ind w:firstLine="540"/>
        <w:jc w:val="both"/>
      </w:pPr>
      <w:r>
        <w:rPr>
          <w:sz w:val="20"/>
        </w:rPr>
      </w:r>
    </w:p>
    <w:p>
      <w:pPr>
        <w:pStyle w:val="0"/>
        <w:ind w:firstLine="540"/>
        <w:jc w:val="both"/>
      </w:pPr>
      <w:r>
        <w:rPr>
          <w:sz w:val="20"/>
        </w:rPr>
        <w:t xml:space="preserve">Vсубс - объем гранта, предоставляемого получателю гранта, тыс. рублей;</w:t>
      </w:r>
    </w:p>
    <w:p>
      <w:pPr>
        <w:pStyle w:val="0"/>
        <w:spacing w:before="200" w:lineRule="auto"/>
        <w:ind w:firstLine="540"/>
        <w:jc w:val="both"/>
      </w:pPr>
      <w:r>
        <w:rPr>
          <w:sz w:val="20"/>
        </w:rPr>
        <w:t xml:space="preserve">Dсс - доля средств, привлеченных получателем гранта для реализации программы (проекта), в общем объеме средств, необходимых для реализации программы (проекта) в соответствии с поданной заявкой;</w:t>
      </w:r>
    </w:p>
    <w:p>
      <w:pPr>
        <w:pStyle w:val="0"/>
        <w:spacing w:before="200" w:lineRule="auto"/>
        <w:ind w:firstLine="540"/>
        <w:jc w:val="both"/>
      </w:pPr>
      <w:r>
        <w:rPr>
          <w:sz w:val="20"/>
        </w:rPr>
        <w:t xml:space="preserve">V1 - объем средств, которые будут направлены на оплату труда штатных работников, участвующих в реализации программы (проекта), тыс. рублей;</w:t>
      </w:r>
    </w:p>
    <w:p>
      <w:pPr>
        <w:pStyle w:val="0"/>
        <w:spacing w:before="200" w:lineRule="auto"/>
        <w:ind w:firstLine="540"/>
        <w:jc w:val="both"/>
      </w:pPr>
      <w:r>
        <w:rPr>
          <w:sz w:val="20"/>
        </w:rPr>
        <w:t xml:space="preserve">V2 - объем средств, которые в рамках реализации программы (проекта) будут направлены на приобретение основных средств и программного обеспечения, тыс. рублей;</w:t>
      </w:r>
    </w:p>
    <w:p>
      <w:pPr>
        <w:pStyle w:val="0"/>
        <w:spacing w:before="200" w:lineRule="auto"/>
        <w:ind w:firstLine="540"/>
        <w:jc w:val="both"/>
      </w:pPr>
      <w:r>
        <w:rPr>
          <w:sz w:val="20"/>
        </w:rPr>
        <w:t xml:space="preserve">V3 - объем средств, которые в рамках реализации программы (проекта) будут направлены на аренду помещений, оборудования для проведения мероприятий, тыс. рублей;</w:t>
      </w:r>
    </w:p>
    <w:p>
      <w:pPr>
        <w:pStyle w:val="0"/>
        <w:spacing w:before="200" w:lineRule="auto"/>
        <w:ind w:firstLine="540"/>
        <w:jc w:val="both"/>
      </w:pPr>
      <w:r>
        <w:rPr>
          <w:sz w:val="20"/>
        </w:rPr>
        <w:t xml:space="preserve">V4 - объем средств, которые в рамках реализации программы (проекта) будут направлены на оплату коммунальных услуг, тыс. рублей;</w:t>
      </w:r>
    </w:p>
    <w:p>
      <w:pPr>
        <w:pStyle w:val="0"/>
        <w:spacing w:before="200" w:lineRule="auto"/>
        <w:ind w:firstLine="540"/>
        <w:jc w:val="both"/>
      </w:pPr>
      <w:r>
        <w:rPr>
          <w:sz w:val="20"/>
        </w:rPr>
        <w:t xml:space="preserve">V5 - объем средств, которые в рамках реализации программы (проекта) будут направлены на приобретение канцелярских товаров и расходных материалов, тыс. рублей;</w:t>
      </w:r>
    </w:p>
    <w:p>
      <w:pPr>
        <w:pStyle w:val="0"/>
        <w:spacing w:before="200" w:lineRule="auto"/>
        <w:ind w:firstLine="540"/>
        <w:jc w:val="both"/>
      </w:pPr>
      <w:r>
        <w:rPr>
          <w:sz w:val="20"/>
        </w:rPr>
        <w:t xml:space="preserve">V6 - объем средств, которые в рамках реализации программы (проекта) будут направлены на оплату услуг связи, тыс. рублей;</w:t>
      </w:r>
    </w:p>
    <w:p>
      <w:pPr>
        <w:pStyle w:val="0"/>
        <w:spacing w:before="200" w:lineRule="auto"/>
        <w:ind w:firstLine="540"/>
        <w:jc w:val="both"/>
      </w:pPr>
      <w:r>
        <w:rPr>
          <w:sz w:val="20"/>
        </w:rPr>
        <w:t xml:space="preserve">V7 - объем средств, которые в рамках реализации программы (проекта) будут направлены на издательские расходы, тыс. рублей;</w:t>
      </w:r>
    </w:p>
    <w:p>
      <w:pPr>
        <w:pStyle w:val="0"/>
        <w:spacing w:before="200" w:lineRule="auto"/>
        <w:ind w:firstLine="540"/>
        <w:jc w:val="both"/>
      </w:pPr>
      <w:r>
        <w:rPr>
          <w:sz w:val="20"/>
        </w:rPr>
        <w:t xml:space="preserve">V8 - объем средств, которые в рамках реализации программы (проекта) будут направлены на вознаграждения лицам, привлекаемым по гражданско-правовым договорам, тыс. рублей;</w:t>
      </w:r>
    </w:p>
    <w:p>
      <w:pPr>
        <w:pStyle w:val="0"/>
        <w:spacing w:before="200" w:lineRule="auto"/>
        <w:ind w:firstLine="540"/>
        <w:jc w:val="both"/>
      </w:pPr>
      <w:r>
        <w:rPr>
          <w:sz w:val="20"/>
        </w:rPr>
        <w:t xml:space="preserve">V9 - объем средств, которые в рамках реализации программы (проекта) будут направлены на командировочные расходы, тыс. рублей;</w:t>
      </w:r>
    </w:p>
    <w:p>
      <w:pPr>
        <w:pStyle w:val="0"/>
        <w:spacing w:before="200" w:lineRule="auto"/>
        <w:ind w:firstLine="540"/>
        <w:jc w:val="both"/>
      </w:pPr>
      <w:r>
        <w:rPr>
          <w:sz w:val="20"/>
        </w:rPr>
        <w:t xml:space="preserve">V10 - объем средств, которые в рамках реализации программы (проекта) будут направлены на уплату налогов, сборов, страховых взносов и иных обязательных платежей в бюджетную систему Российской Федерации, тыс. рублей;</w:t>
      </w:r>
    </w:p>
    <w:p>
      <w:pPr>
        <w:pStyle w:val="0"/>
        <w:spacing w:before="200" w:lineRule="auto"/>
        <w:ind w:firstLine="540"/>
        <w:jc w:val="both"/>
      </w:pPr>
      <w:r>
        <w:rPr>
          <w:sz w:val="20"/>
        </w:rPr>
        <w:t xml:space="preserve">V11 - объем средств, которые будут направлены на прочие расходы, связанные с реализацией мероприятий программы (проекта), тыс. рублей.</w:t>
      </w:r>
    </w:p>
    <w:p>
      <w:pPr>
        <w:pStyle w:val="0"/>
        <w:spacing w:before="200" w:lineRule="auto"/>
        <w:ind w:firstLine="540"/>
        <w:jc w:val="both"/>
      </w:pPr>
      <w:r>
        <w:rPr>
          <w:sz w:val="20"/>
        </w:rPr>
        <w:t xml:space="preserve">2.25. Расчет размера грантов и их распределение осуществляются комиссией в соответствии с рейтингом получателей грантов, начиная с верхней позиции, и отражаются в протоколе подведения итогов отбора.</w:t>
      </w:r>
    </w:p>
    <w:p>
      <w:pPr>
        <w:pStyle w:val="0"/>
        <w:spacing w:before="200" w:lineRule="auto"/>
        <w:ind w:firstLine="540"/>
        <w:jc w:val="both"/>
      </w:pPr>
      <w:r>
        <w:rPr>
          <w:sz w:val="20"/>
        </w:rPr>
        <w:t xml:space="preserve">После подписания протокола подведения итогов отбора Министерство издает в течение 3 рабочих дней приказ о предоставлении грантов, содержащий сведения о получателях грантов и размерах грантов.</w:t>
      </w:r>
    </w:p>
    <w:p>
      <w:pPr>
        <w:pStyle w:val="0"/>
        <w:spacing w:before="200" w:lineRule="auto"/>
        <w:ind w:firstLine="540"/>
        <w:jc w:val="both"/>
      </w:pPr>
      <w:r>
        <w:rPr>
          <w:sz w:val="20"/>
        </w:rPr>
        <w:t xml:space="preserve">2.26. Основаниями для отказа участнику отбора в предоставлении гранта являются:</w:t>
      </w:r>
    </w:p>
    <w:p>
      <w:pPr>
        <w:pStyle w:val="0"/>
        <w:spacing w:before="200" w:lineRule="auto"/>
        <w:ind w:firstLine="540"/>
        <w:jc w:val="both"/>
      </w:pPr>
      <w:r>
        <w:rPr>
          <w:sz w:val="20"/>
        </w:rPr>
        <w:t xml:space="preserve">- несоответствие участника отбора требованиям, определенным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пунктом 2.2</w:t>
        </w:r>
      </w:hyperlink>
      <w:r>
        <w:rPr>
          <w:sz w:val="20"/>
        </w:rPr>
        <w:t xml:space="preserve"> настоящего Порядка;</w:t>
      </w:r>
    </w:p>
    <w:p>
      <w:pPr>
        <w:pStyle w:val="0"/>
        <w:spacing w:before="200" w:lineRule="auto"/>
        <w:ind w:firstLine="540"/>
        <w:jc w:val="both"/>
      </w:pPr>
      <w:r>
        <w:rPr>
          <w:sz w:val="20"/>
        </w:rPr>
        <w:t xml:space="preserve">- установление факта недостоверности представленных участником отбора сведений;</w:t>
      </w:r>
    </w:p>
    <w:p>
      <w:pPr>
        <w:pStyle w:val="0"/>
        <w:spacing w:before="200" w:lineRule="auto"/>
        <w:ind w:firstLine="540"/>
        <w:jc w:val="both"/>
      </w:pPr>
      <w:r>
        <w:rPr>
          <w:sz w:val="20"/>
        </w:rPr>
        <w:t xml:space="preserve">- отказ получателя гранта от заключения Соглашения;</w:t>
      </w:r>
    </w:p>
    <w:p>
      <w:pPr>
        <w:pStyle w:val="0"/>
        <w:spacing w:before="200" w:lineRule="auto"/>
        <w:ind w:firstLine="540"/>
        <w:jc w:val="both"/>
      </w:pPr>
      <w:r>
        <w:rPr>
          <w:sz w:val="20"/>
        </w:rPr>
        <w:t xml:space="preserve">- уклонение получателя гранта от заключения Соглашения в срок, установленный </w:t>
      </w:r>
      <w:hyperlink w:history="0" w:anchor="P210" w:tooltip="2.28. Министерство в течение 15 рабочих дней со дня издания приказа о предоставлении грантов формирует для подписания получателем гранта проект Соглашения в системе &quot;Электронный бюджет&quot; в соответствии с типовой формой соглашения, утвержденной министерством финансов Воронежской области.">
        <w:r>
          <w:rPr>
            <w:sz w:val="20"/>
            <w:color w:val="0000ff"/>
          </w:rPr>
          <w:t xml:space="preserve">пунктом 2.28</w:t>
        </w:r>
      </w:hyperlink>
      <w:r>
        <w:rPr>
          <w:sz w:val="20"/>
        </w:rPr>
        <w:t xml:space="preserve"> настоящего Порядка;</w:t>
      </w:r>
    </w:p>
    <w:p>
      <w:pPr>
        <w:pStyle w:val="0"/>
        <w:spacing w:before="200" w:lineRule="auto"/>
        <w:ind w:firstLine="540"/>
        <w:jc w:val="both"/>
      </w:pPr>
      <w:r>
        <w:rPr>
          <w:sz w:val="20"/>
        </w:rPr>
        <w:t xml:space="preserve">- отсутствие лимитов бюджетных обязательств на предоставление грантов;</w:t>
      </w:r>
    </w:p>
    <w:p>
      <w:pPr>
        <w:pStyle w:val="0"/>
        <w:spacing w:before="200" w:lineRule="auto"/>
        <w:ind w:firstLine="540"/>
        <w:jc w:val="both"/>
      </w:pPr>
      <w:r>
        <w:rPr>
          <w:sz w:val="20"/>
        </w:rPr>
        <w:t xml:space="preserve">- несоответствие представленных получателем гранта документов требованиям, определенным правовым актом,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2.27. В случае нарушения получателем гранта условий предоставления грантов грант подлежит возврату в областной бюджет в порядке и сроки, которые установлены </w:t>
      </w:r>
      <w:hyperlink w:history="0" w:anchor="P243" w:tooltip="3.7. Возврат остатков гранта, не использованного по истечении срока, осуществляется в порядке, установленном бюджетным законодательством Российской Федерации, в течение 30 календарных дней со дня истечения указанного срока.">
        <w:r>
          <w:rPr>
            <w:sz w:val="20"/>
            <w:color w:val="0000ff"/>
          </w:rPr>
          <w:t xml:space="preserve">пунктом 3.7</w:t>
        </w:r>
      </w:hyperlink>
      <w:r>
        <w:rPr>
          <w:sz w:val="20"/>
        </w:rPr>
        <w:t xml:space="preserve"> настоящего Порядка.</w:t>
      </w:r>
    </w:p>
    <w:bookmarkStart w:id="210" w:name="P210"/>
    <w:bookmarkEnd w:id="210"/>
    <w:p>
      <w:pPr>
        <w:pStyle w:val="0"/>
        <w:spacing w:before="200" w:lineRule="auto"/>
        <w:ind w:firstLine="540"/>
        <w:jc w:val="both"/>
      </w:pPr>
      <w:r>
        <w:rPr>
          <w:sz w:val="20"/>
        </w:rPr>
        <w:t xml:space="preserve">2.28. Министерство в течение 15 рабочих дней со дня издания приказа о предоставлении грантов формирует для подписания получателем гранта проект Соглашения в системе "Электронный бюджет" в соответствии с типовой формой соглашения, утвержденной министерством финансов Воронежской области.</w:t>
      </w:r>
    </w:p>
    <w:p>
      <w:pPr>
        <w:pStyle w:val="0"/>
        <w:spacing w:before="200" w:lineRule="auto"/>
        <w:ind w:firstLine="540"/>
        <w:jc w:val="both"/>
      </w:pPr>
      <w:r>
        <w:rPr>
          <w:sz w:val="20"/>
        </w:rPr>
        <w:t xml:space="preserve">В случае уменьшения Министерству ранее доведенных лимитов бюджетных обязательств, указанных в </w:t>
      </w:r>
      <w:hyperlink w:history="0" w:anchor="P41" w:tooltip="1.4.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является министерство культуры Воронежской области (далее - Министерство).">
        <w:r>
          <w:rPr>
            <w:sz w:val="20"/>
            <w:color w:val="0000ff"/>
          </w:rPr>
          <w:t xml:space="preserve">пункте 1.4</w:t>
        </w:r>
      </w:hyperlink>
      <w:r>
        <w:rPr>
          <w:sz w:val="20"/>
        </w:rPr>
        <w:t xml:space="preserve"> настоящего Порядка, приводящего к невозможности предоставления гранта в размере, определенном в Соглашении, в Соглашение включается условие о согласовании новых условий Соглашения или о расторжении Соглашения при недостижении согласия по новым условиям.</w:t>
      </w:r>
    </w:p>
    <w:p>
      <w:pPr>
        <w:pStyle w:val="0"/>
        <w:spacing w:before="200" w:lineRule="auto"/>
        <w:ind w:firstLine="540"/>
        <w:jc w:val="both"/>
      </w:pPr>
      <w:r>
        <w:rPr>
          <w:sz w:val="20"/>
        </w:rPr>
        <w:t xml:space="preserve">Изменение Соглашения или при необходимости расторжение Соглашения осуществляется по соглашению сторон и оформляется в виде дополнительного соглашения к нему в системе "Электронный бюджет", являющегося его неотъемлемой частью, в соответствии с типовой формой, установленной министерством финансов Воронежской области.</w:t>
      </w:r>
    </w:p>
    <w:p>
      <w:pPr>
        <w:pStyle w:val="0"/>
        <w:spacing w:before="200" w:lineRule="auto"/>
        <w:ind w:firstLine="540"/>
        <w:jc w:val="both"/>
      </w:pPr>
      <w:r>
        <w:rPr>
          <w:sz w:val="20"/>
        </w:rPr>
        <w:t xml:space="preserve">Получатель гранта подписывает проект Соглашения усиленной квалифицированной электронной подписью в системе "Электронный бюджет" в срок, указанный в </w:t>
      </w:r>
      <w:hyperlink w:history="0" w:anchor="P210" w:tooltip="2.28. Министерство в течение 15 рабочих дней со дня издания приказа о предоставлении грантов формирует для подписания получателем гранта проект Соглашения в системе &quot;Электронный бюджет&quot; в соответствии с типовой формой соглашения, утвержденной министерством финансов Воронежской области.">
        <w:r>
          <w:rPr>
            <w:sz w:val="20"/>
            <w:color w:val="0000ff"/>
          </w:rPr>
          <w:t xml:space="preserve">пункте 2.28</w:t>
        </w:r>
      </w:hyperlink>
      <w:r>
        <w:rPr>
          <w:sz w:val="20"/>
        </w:rPr>
        <w:t xml:space="preserve"> настоящего Порядка.</w:t>
      </w:r>
    </w:p>
    <w:p>
      <w:pPr>
        <w:pStyle w:val="0"/>
        <w:spacing w:before="200" w:lineRule="auto"/>
        <w:ind w:firstLine="540"/>
        <w:jc w:val="both"/>
      </w:pPr>
      <w:r>
        <w:rPr>
          <w:sz w:val="20"/>
        </w:rPr>
        <w:t xml:space="preserve">В случае если получатель гранта в вышеуказанный срок не подписал проект Соглашения, получатель гранта признается уклонившимся от его заключения.</w:t>
      </w:r>
    </w:p>
    <w:p>
      <w:pPr>
        <w:pStyle w:val="0"/>
        <w:spacing w:before="200" w:lineRule="auto"/>
        <w:ind w:firstLine="540"/>
        <w:jc w:val="both"/>
      </w:pPr>
      <w:r>
        <w:rPr>
          <w:sz w:val="20"/>
        </w:rPr>
        <w:t xml:space="preserve">2.29. Срок реализации творческого проекта не должен превышать 12 месяцев со дня предоставления гранта.</w:t>
      </w:r>
    </w:p>
    <w:p>
      <w:pPr>
        <w:pStyle w:val="0"/>
        <w:spacing w:before="200" w:lineRule="auto"/>
        <w:ind w:firstLine="540"/>
        <w:jc w:val="both"/>
      </w:pPr>
      <w:r>
        <w:rPr>
          <w:sz w:val="20"/>
        </w:rPr>
        <w:t xml:space="preserve">2.30. Перечисление грантов осуществляется Министерством в соответствии с заключенным Соглашением в системе "Электронный бюджет" на отдельные расчетные или корреспондентские счета, открытые получателем гранта в учреждениях Центрального банка Российской Федерации или кредитных организациях.</w:t>
      </w:r>
    </w:p>
    <w:p>
      <w:pPr>
        <w:pStyle w:val="0"/>
        <w:spacing w:before="200" w:lineRule="auto"/>
        <w:ind w:firstLine="540"/>
        <w:jc w:val="both"/>
      </w:pPr>
      <w:r>
        <w:rPr>
          <w:sz w:val="20"/>
        </w:rPr>
        <w:t xml:space="preserve">В целях заключения Соглашения с получателем гранта в системе "Электронный бюджет" уточняется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bookmarkStart w:id="218" w:name="P218"/>
    <w:bookmarkEnd w:id="218"/>
    <w:p>
      <w:pPr>
        <w:pStyle w:val="0"/>
        <w:spacing w:before="200" w:lineRule="auto"/>
        <w:ind w:firstLine="540"/>
        <w:jc w:val="both"/>
      </w:pPr>
      <w:r>
        <w:rPr>
          <w:sz w:val="20"/>
        </w:rPr>
        <w:t xml:space="preserve">2.31. Результатом предоставления субсидии является достижение значения мероприятия (результата) "Реализованы творческие проекты некоммерческих организаций, направленные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 (единиц) комплекса процессных мероприятий "Развитие институтов гражданского общества Воронежской области" (тип мероприятия (результата) - иные мероприятия (результаты)), а также достижение мероприятия (результата) "Оказана поддержка социально ориентированным некоммерческим организациям на реализацию программ (проектов) в сфере культуры" (единиц) комплекса процессных мероприятий "Поддержка творческих инициатив населения и организаций в сфере культуры, развитие кадрового потенциала, подготовка и проведение мероприятий, посвященных значимым событиям" (тип мероприятия (результата) - иные мероприятия (результаты)).</w:t>
      </w:r>
    </w:p>
    <w:p>
      <w:pPr>
        <w:pStyle w:val="0"/>
        <w:spacing w:before="200" w:lineRule="auto"/>
        <w:ind w:firstLine="540"/>
        <w:jc w:val="both"/>
      </w:pPr>
      <w:r>
        <w:rPr>
          <w:sz w:val="20"/>
        </w:rPr>
        <w:t xml:space="preserve">2.32. Срок перечисления гранта составляет не более 45 календарных дней со дня подписания Соглашения в системе "Электронный бюджет".</w:t>
      </w:r>
    </w:p>
    <w:p>
      <w:pPr>
        <w:pStyle w:val="0"/>
        <w:spacing w:before="200" w:lineRule="auto"/>
        <w:ind w:firstLine="540"/>
        <w:jc w:val="both"/>
      </w:pPr>
      <w:r>
        <w:rPr>
          <w:sz w:val="20"/>
        </w:rPr>
        <w:t xml:space="preserve">2.33. Получателю гранта, а также иным юридическим лицам, получающим средства на основании договоров (соглашений), заключенных с получателем гранта в целях исполнения обязательств по Соглашению, за счет грантов, предусмотренных настоящим Порядком, запрещается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Порядком.</w:t>
      </w:r>
    </w:p>
    <w:p>
      <w:pPr>
        <w:pStyle w:val="0"/>
        <w:spacing w:before="200" w:lineRule="auto"/>
        <w:ind w:firstLine="540"/>
        <w:jc w:val="both"/>
      </w:pPr>
      <w:r>
        <w:rPr>
          <w:sz w:val="20"/>
        </w:rPr>
        <w:t xml:space="preserve">Получатель гранта, а также лица, получающие средства на основании договоров (соглашений), заключенных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дают согласие на осуществление в отношении них проверки Министерством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в соответствии со </w:t>
      </w:r>
      <w:hyperlink w:history="0" r:id="rId2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Положения о даче согласия на проведение указанных проверок включаются в Соглашение.</w:t>
      </w:r>
    </w:p>
    <w:p>
      <w:pPr>
        <w:pStyle w:val="0"/>
        <w:spacing w:before="200" w:lineRule="auto"/>
        <w:ind w:firstLine="540"/>
        <w:jc w:val="both"/>
      </w:pPr>
      <w:r>
        <w:rPr>
          <w:sz w:val="20"/>
        </w:rPr>
        <w:t xml:space="preserve">2.34. Получатель гранта обязуется не допускать образования на едином налоговом счете неисполненной обязанности по уплате налогов, сборов и страховых взносов в бюджетах бюджетной системы Российской Федерации.</w:t>
      </w:r>
    </w:p>
    <w:p>
      <w:pPr>
        <w:pStyle w:val="0"/>
        <w:spacing w:before="200" w:lineRule="auto"/>
        <w:ind w:firstLine="540"/>
        <w:jc w:val="both"/>
      </w:pPr>
      <w:r>
        <w:rPr>
          <w:sz w:val="20"/>
        </w:rPr>
        <w:t xml:space="preserve">2.35. При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подписывается дополнительное соглашение о расторжении Соглашения в системе "Электронный бюджет"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бюджет Воронежской области.</w:t>
      </w:r>
    </w:p>
    <w:p>
      <w:pPr>
        <w:pStyle w:val="0"/>
        <w:spacing w:before="200" w:lineRule="auto"/>
        <w:ind w:firstLine="540"/>
        <w:jc w:val="both"/>
      </w:pPr>
      <w:r>
        <w:rPr>
          <w:sz w:val="20"/>
        </w:rPr>
        <w:t xml:space="preserve">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ind w:firstLine="540"/>
        <w:jc w:val="both"/>
      </w:pPr>
      <w:r>
        <w:rPr>
          <w:sz w:val="20"/>
        </w:rPr>
      </w:r>
    </w:p>
    <w:p>
      <w:pPr>
        <w:pStyle w:val="2"/>
        <w:outlineLvl w:val="1"/>
        <w:jc w:val="center"/>
      </w:pPr>
      <w:r>
        <w:rPr>
          <w:sz w:val="20"/>
        </w:rPr>
        <w:t xml:space="preserve">3. Требования к отчетности, осуществлению контроля</w:t>
      </w:r>
    </w:p>
    <w:p>
      <w:pPr>
        <w:pStyle w:val="2"/>
        <w:jc w:val="center"/>
      </w:pPr>
      <w:r>
        <w:rPr>
          <w:sz w:val="20"/>
        </w:rPr>
        <w:t xml:space="preserve">(мониторинга) за соблюдением условий и порядка</w:t>
      </w:r>
    </w:p>
    <w:p>
      <w:pPr>
        <w:pStyle w:val="2"/>
        <w:jc w:val="center"/>
      </w:pPr>
      <w:r>
        <w:rPr>
          <w:sz w:val="20"/>
        </w:rPr>
        <w:t xml:space="preserve">предоставления гранта и ответственности за их нарушение</w:t>
      </w:r>
    </w:p>
    <w:p>
      <w:pPr>
        <w:pStyle w:val="0"/>
        <w:ind w:firstLine="540"/>
        <w:jc w:val="both"/>
      </w:pPr>
      <w:r>
        <w:rPr>
          <w:sz w:val="20"/>
        </w:rPr>
      </w:r>
    </w:p>
    <w:p>
      <w:pPr>
        <w:pStyle w:val="0"/>
        <w:ind w:firstLine="540"/>
        <w:jc w:val="both"/>
      </w:pPr>
      <w:r>
        <w:rPr>
          <w:sz w:val="20"/>
        </w:rPr>
        <w:t xml:space="preserve">3.1. Получатель гранта представляет отчет о достижении значений результата предоставления гранта и об осуществлении расходов, источником финансового обеспечения которых является грант, по форме, определенной типовой формой соглашения, установленной министерством финансов Воронежской области, и информацию об отсутствии задолженности по уплате налогов, сборов, страховых взносов в течение всего периода использования гранта в следующие сроки:</w:t>
      </w:r>
    </w:p>
    <w:p>
      <w:pPr>
        <w:pStyle w:val="0"/>
        <w:spacing w:before="200" w:lineRule="auto"/>
        <w:ind w:firstLine="540"/>
        <w:jc w:val="both"/>
      </w:pPr>
      <w:r>
        <w:rPr>
          <w:sz w:val="20"/>
        </w:rPr>
        <w:t xml:space="preserve">- ежеквартально - в срок до 20-го числа месяца, следующего за отчетным кварталом;</w:t>
      </w:r>
    </w:p>
    <w:p>
      <w:pPr>
        <w:pStyle w:val="0"/>
        <w:spacing w:before="200" w:lineRule="auto"/>
        <w:ind w:firstLine="540"/>
        <w:jc w:val="both"/>
      </w:pPr>
      <w:r>
        <w:rPr>
          <w:sz w:val="20"/>
        </w:rPr>
        <w:t xml:space="preserve">- за весь период реализации программы (проекта) - не позднее 15 рабочих дней с даты окончания действия Соглашения.</w:t>
      </w:r>
    </w:p>
    <w:p>
      <w:pPr>
        <w:pStyle w:val="0"/>
        <w:spacing w:before="200" w:lineRule="auto"/>
        <w:ind w:firstLine="540"/>
        <w:jc w:val="both"/>
      </w:pPr>
      <w:r>
        <w:rPr>
          <w:sz w:val="20"/>
        </w:rPr>
        <w:t xml:space="preserve">Министерство вправе устанавливать в Соглашении сроки и формы предоставления получателем гранта дополнительной отчетности.</w:t>
      </w:r>
    </w:p>
    <w:p>
      <w:pPr>
        <w:pStyle w:val="0"/>
        <w:spacing w:before="200" w:lineRule="auto"/>
        <w:ind w:firstLine="540"/>
        <w:jc w:val="both"/>
      </w:pPr>
      <w:r>
        <w:rPr>
          <w:sz w:val="20"/>
        </w:rPr>
        <w:t xml:space="preserve">3.2. Министерство в течение 10 рабочих дней проверяет отчет в системе "Электронный бюджет" и принимает решение о приеме отчета или об отказе в приеме отчета.</w:t>
      </w:r>
    </w:p>
    <w:p>
      <w:pPr>
        <w:pStyle w:val="0"/>
        <w:spacing w:before="200" w:lineRule="auto"/>
        <w:ind w:firstLine="540"/>
        <w:jc w:val="both"/>
      </w:pPr>
      <w:r>
        <w:rPr>
          <w:sz w:val="20"/>
        </w:rPr>
        <w:t xml:space="preserve">Основанием для отказа в приеме отчета является установление факта недостоверности представленной получателем гранта информации.</w:t>
      </w:r>
    </w:p>
    <w:p>
      <w:pPr>
        <w:pStyle w:val="0"/>
        <w:spacing w:before="200" w:lineRule="auto"/>
        <w:ind w:firstLine="540"/>
        <w:jc w:val="both"/>
      </w:pPr>
      <w:r>
        <w:rPr>
          <w:sz w:val="20"/>
        </w:rPr>
        <w:t xml:space="preserve">Получатель гранта должен быть проинформирован о принятом решении в течение 5 рабочих дней со дня его принятия (в случае отказа в приеме отчета - с указанием причины принятия соответствующего решения).</w:t>
      </w:r>
    </w:p>
    <w:p>
      <w:pPr>
        <w:pStyle w:val="0"/>
        <w:spacing w:before="200" w:lineRule="auto"/>
        <w:ind w:firstLine="540"/>
        <w:jc w:val="both"/>
      </w:pPr>
      <w:r>
        <w:rPr>
          <w:sz w:val="20"/>
        </w:rPr>
        <w:t xml:space="preserve">Получатель гранта в течение 5 дней со дня получения отказа в приеме отчета представляет в Министерство уточненный отчет.</w:t>
      </w:r>
    </w:p>
    <w:p>
      <w:pPr>
        <w:pStyle w:val="0"/>
        <w:spacing w:before="200" w:lineRule="auto"/>
        <w:ind w:firstLine="540"/>
        <w:jc w:val="both"/>
      </w:pPr>
      <w:r>
        <w:rPr>
          <w:sz w:val="20"/>
        </w:rPr>
        <w:t xml:space="preserve">3.3. Получатель гранта несет ответственность за достоверность сведений, содержащихся в отчетных документах.</w:t>
      </w:r>
    </w:p>
    <w:p>
      <w:pPr>
        <w:pStyle w:val="0"/>
        <w:spacing w:before="200" w:lineRule="auto"/>
        <w:ind w:firstLine="540"/>
        <w:jc w:val="both"/>
      </w:pPr>
      <w:r>
        <w:rPr>
          <w:sz w:val="20"/>
        </w:rPr>
        <w:t xml:space="preserve">3.4. Мониторинг достижения результата предоставления гранта, указанного в </w:t>
      </w:r>
      <w:hyperlink w:history="0" w:anchor="P218" w:tooltip="2.31. Результатом предоставления субсидии является достижение значения мероприятия (результата) &quot;Реализованы творческие проекты некоммерческих организаций, направленные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quot; (единиц) комплекса процессных мероприятий &quot;Развитие институтов гражданского общес...">
        <w:r>
          <w:rPr>
            <w:sz w:val="20"/>
            <w:color w:val="0000ff"/>
          </w:rPr>
          <w:t xml:space="preserve">пункте 2.31</w:t>
        </w:r>
      </w:hyperlink>
      <w:r>
        <w:rPr>
          <w:sz w:val="20"/>
        </w:rPr>
        <w:t xml:space="preserve"> настоящего Порядка, исходя из достижения значений результатов предоставления гранта, определенных Соглашением, и событий, отражающих факт завершения соответствующего официального мероприятия по получению результата предоставления гранта (контрольная точка), проводится Министерством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3.5. Министерство осуществляет проверку соблюдения получателем гранта порядка и условий предоставления гранта, в том числе в части достижения результата предоставления гранта, а органы государственного финансового контроля осуществляют проверки в соответствии со </w:t>
      </w:r>
      <w:hyperlink w:history="0" r:id="rId2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3.6. Ответственность за нецелевое использование предоставленного гранта, недостоверность сведений, содержащихся в документах, несет получатель гранта в соответствии с действующим законодательством.</w:t>
      </w:r>
    </w:p>
    <w:bookmarkStart w:id="243" w:name="P243"/>
    <w:bookmarkEnd w:id="243"/>
    <w:p>
      <w:pPr>
        <w:pStyle w:val="0"/>
        <w:spacing w:before="200" w:lineRule="auto"/>
        <w:ind w:firstLine="540"/>
        <w:jc w:val="both"/>
      </w:pPr>
      <w:r>
        <w:rPr>
          <w:sz w:val="20"/>
        </w:rPr>
        <w:t xml:space="preserve">3.7. Возврат остатков гранта, не использованного по истечении срока, осуществляется в порядке, установленном бюджетным законодательством Российской Федерации, в течение 30 календарных дней со дня истечения указанного срока.</w:t>
      </w:r>
    </w:p>
    <w:p>
      <w:pPr>
        <w:pStyle w:val="0"/>
        <w:spacing w:before="200" w:lineRule="auto"/>
        <w:ind w:firstLine="540"/>
        <w:jc w:val="both"/>
      </w:pPr>
      <w:r>
        <w:rPr>
          <w:sz w:val="20"/>
        </w:rPr>
        <w:t xml:space="preserve">3.8. В случае нарушения получателем гранта условий, установленных при предоставлении гранта, выявленного в том числе по фактам проверок, проведенных Министерством и органами государственного финансового контроля, а также в случае недостижения значения результата предоставления гранта средства гранта подлежат возврату в доход областного бюджета в соответствии с бюджетным законодательством Российской Федерации.</w:t>
      </w:r>
    </w:p>
    <w:p>
      <w:pPr>
        <w:pStyle w:val="0"/>
        <w:spacing w:before="200" w:lineRule="auto"/>
        <w:ind w:firstLine="540"/>
        <w:jc w:val="both"/>
      </w:pPr>
      <w:r>
        <w:rPr>
          <w:sz w:val="20"/>
        </w:rPr>
        <w:t xml:space="preserve">При выявлении нарушения условий, установленных при предоставлении гранта, Министерство принимает меры по возврату гранта посредством направления получателю гранта требования о возврате гранта в течение 10 рабочих дней с даты выявления нарушения. Грант подлежит возврату в областной бюджет в течение 30 календарных дней с даты получения требования.</w:t>
      </w:r>
    </w:p>
    <w:p>
      <w:pPr>
        <w:pStyle w:val="0"/>
        <w:spacing w:before="200" w:lineRule="auto"/>
        <w:ind w:firstLine="540"/>
        <w:jc w:val="both"/>
      </w:pPr>
      <w:r>
        <w:rPr>
          <w:sz w:val="20"/>
        </w:rPr>
        <w:t xml:space="preserve">При невозврате гранта в установленный срок Министерство принимает меры по взысканию подлежащего возврату гранта в областной бюджет в судебном порядке.</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реализацию программ (проектов)</w:t>
      </w:r>
    </w:p>
    <w:p>
      <w:pPr>
        <w:pStyle w:val="0"/>
        <w:jc w:val="right"/>
      </w:pPr>
      <w:r>
        <w:rPr>
          <w:sz w:val="20"/>
        </w:rPr>
        <w:t xml:space="preserve">в сфере культуры</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458"/>
        <w:gridCol w:w="1587"/>
        <w:gridCol w:w="340"/>
        <w:gridCol w:w="3640"/>
      </w:tblGrid>
      <w:tr>
        <w:tc>
          <w:tcPr>
            <w:gridSpan w:val="4"/>
            <w:tcW w:w="9025" w:type="dxa"/>
            <w:tcBorders>
              <w:top w:val="nil"/>
              <w:left w:val="nil"/>
              <w:bottom w:val="nil"/>
              <w:right w:val="nil"/>
            </w:tcBorders>
          </w:tcPr>
          <w:bookmarkStart w:id="260" w:name="P260"/>
          <w:bookmarkEnd w:id="260"/>
          <w:p>
            <w:pPr>
              <w:pStyle w:val="0"/>
              <w:jc w:val="center"/>
            </w:pPr>
            <w:r>
              <w:rPr>
                <w:sz w:val="20"/>
              </w:rPr>
              <w:t xml:space="preserve">ЗАЯВКА</w:t>
            </w:r>
          </w:p>
          <w:p>
            <w:pPr>
              <w:pStyle w:val="0"/>
              <w:jc w:val="center"/>
            </w:pPr>
            <w:r>
              <w:rPr>
                <w:sz w:val="20"/>
              </w:rPr>
              <w:t xml:space="preserve">на участие в отборе на предоставление грантов в форме субсидий социально ориентированным некоммерческим организациям на реализацию</w:t>
            </w:r>
          </w:p>
          <w:p>
            <w:pPr>
              <w:pStyle w:val="0"/>
              <w:jc w:val="center"/>
            </w:pPr>
            <w:r>
              <w:rPr>
                <w:sz w:val="20"/>
              </w:rPr>
              <w:t xml:space="preserve">программ (проектов) в сфере культуры</w:t>
            </w:r>
          </w:p>
        </w:tc>
      </w:tr>
      <w:tr>
        <w:tc>
          <w:tcPr>
            <w:gridSpan w:val="4"/>
            <w:tcW w:w="9025" w:type="dxa"/>
            <w:tcBorders>
              <w:top w:val="nil"/>
              <w:left w:val="nil"/>
              <w:bottom w:val="nil"/>
              <w:right w:val="nil"/>
            </w:tcBorders>
          </w:tcPr>
          <w:p>
            <w:pPr>
              <w:pStyle w:val="0"/>
              <w:ind w:firstLine="283"/>
              <w:jc w:val="both"/>
            </w:pPr>
            <w:r>
              <w:rPr>
                <w:sz w:val="20"/>
              </w:rPr>
            </w:r>
          </w:p>
        </w:tc>
      </w:tr>
      <w:tr>
        <w:tc>
          <w:tcPr>
            <w:gridSpan w:val="4"/>
            <w:tcW w:w="9025" w:type="dxa"/>
            <w:tcBorders>
              <w:top w:val="nil"/>
              <w:left w:val="nil"/>
              <w:bottom w:val="nil"/>
              <w:right w:val="nil"/>
            </w:tcBorders>
          </w:tcPr>
          <w:p>
            <w:pPr>
              <w:pStyle w:val="0"/>
              <w:ind w:firstLine="283"/>
              <w:jc w:val="both"/>
            </w:pPr>
            <w:r>
              <w:rPr>
                <w:sz w:val="20"/>
              </w:rPr>
              <w:t xml:space="preserve">В соответствии с </w:t>
            </w:r>
            <w:hyperlink w:history="0" w:anchor="P31" w:tooltip="ПОРЯДОК">
              <w:r>
                <w:rPr>
                  <w:sz w:val="20"/>
                  <w:color w:val="0000ff"/>
                </w:rPr>
                <w:t xml:space="preserve">Порядком</w:t>
              </w:r>
            </w:hyperlink>
            <w:r>
              <w:rPr>
                <w:sz w:val="20"/>
              </w:rPr>
              <w:t xml:space="preserve"> предоставления грантов в форме субсидий социально ориентированным некоммерческим организациям на реализацию программ (проектов) в сфере культуры (далее - Порядок) _________________________________________________________________________</w:t>
            </w:r>
          </w:p>
          <w:p>
            <w:pPr>
              <w:pStyle w:val="0"/>
              <w:jc w:val="center"/>
            </w:pPr>
            <w:r>
              <w:rPr>
                <w:sz w:val="20"/>
              </w:rPr>
              <w:t xml:space="preserve">(полное наименование юридического лица)</w:t>
            </w:r>
          </w:p>
          <w:p>
            <w:pPr>
              <w:pStyle w:val="0"/>
            </w:pPr>
            <w:r>
              <w:rPr>
                <w:sz w:val="20"/>
              </w:rPr>
              <w:t xml:space="preserve">в лице ___________________________________________________________________, действующего на основании ________________________________________________,</w:t>
            </w:r>
          </w:p>
          <w:p>
            <w:pPr>
              <w:pStyle w:val="0"/>
              <w:jc w:val="both"/>
            </w:pPr>
            <w:r>
              <w:rPr>
                <w:sz w:val="20"/>
              </w:rPr>
              <w:t xml:space="preserve">направляет документы для участия в отборе на предоставление грантов в форме субсидий социально ориентированным некоммерческим организациям на реализацию программ (проектов) в сфере культуры.</w:t>
            </w:r>
          </w:p>
        </w:tc>
      </w:tr>
      <w:tr>
        <w:tc>
          <w:tcPr>
            <w:gridSpan w:val="4"/>
            <w:tcW w:w="9025" w:type="dxa"/>
            <w:tcBorders>
              <w:top w:val="nil"/>
              <w:left w:val="nil"/>
              <w:bottom w:val="nil"/>
              <w:right w:val="nil"/>
            </w:tcBorders>
          </w:tcPr>
          <w:p>
            <w:pPr>
              <w:pStyle w:val="0"/>
              <w:ind w:firstLine="283"/>
              <w:jc w:val="both"/>
            </w:pPr>
            <w:r>
              <w:rPr>
                <w:sz w:val="20"/>
              </w:rPr>
              <w:t xml:space="preserve">Документ, подтверждающий факт внесения записи в единый государственный реестр юридических лиц: N _______ от ______________</w:t>
            </w:r>
          </w:p>
          <w:p>
            <w:pPr>
              <w:pStyle w:val="0"/>
              <w:ind w:firstLine="283"/>
              <w:jc w:val="both"/>
            </w:pPr>
            <w:r>
              <w:rPr>
                <w:sz w:val="20"/>
              </w:rPr>
              <w:t xml:space="preserve">Кем выдан _____________________________________________________________</w:t>
            </w:r>
          </w:p>
          <w:p>
            <w:pPr>
              <w:pStyle w:val="0"/>
              <w:ind w:firstLine="283"/>
              <w:jc w:val="both"/>
            </w:pPr>
            <w:r>
              <w:rPr>
                <w:sz w:val="20"/>
              </w:rPr>
              <w:t xml:space="preserve">ИНН __________________________________________________________________</w:t>
            </w:r>
          </w:p>
          <w:p>
            <w:pPr>
              <w:pStyle w:val="0"/>
              <w:ind w:firstLine="283"/>
              <w:jc w:val="both"/>
            </w:pPr>
            <w:r>
              <w:rPr>
                <w:sz w:val="20"/>
              </w:rPr>
              <w:t xml:space="preserve">ОГРН (ОГРНИП) _______________________________________________________</w:t>
            </w:r>
          </w:p>
          <w:p>
            <w:pPr>
              <w:pStyle w:val="0"/>
              <w:ind w:firstLine="283"/>
              <w:jc w:val="both"/>
            </w:pPr>
            <w:r>
              <w:rPr>
                <w:sz w:val="20"/>
              </w:rPr>
              <w:t xml:space="preserve">Дата государственной регистрации ________________________________________</w:t>
            </w:r>
          </w:p>
          <w:p>
            <w:pPr>
              <w:pStyle w:val="0"/>
              <w:ind w:firstLine="283"/>
              <w:jc w:val="both"/>
            </w:pPr>
            <w:r>
              <w:rPr>
                <w:sz w:val="20"/>
              </w:rPr>
              <w:t xml:space="preserve">Банковские реквизиты___________________________________________________</w:t>
            </w:r>
          </w:p>
          <w:p>
            <w:pPr>
              <w:pStyle w:val="0"/>
              <w:ind w:firstLine="283"/>
              <w:jc w:val="both"/>
            </w:pPr>
            <w:r>
              <w:rPr>
                <w:sz w:val="20"/>
              </w:rPr>
              <w:t xml:space="preserve">Р/сч N ___________________________ в ____________________________________</w:t>
            </w:r>
          </w:p>
          <w:p>
            <w:pPr>
              <w:pStyle w:val="0"/>
              <w:ind w:firstLine="283"/>
              <w:jc w:val="both"/>
            </w:pPr>
            <w:r>
              <w:rPr>
                <w:sz w:val="20"/>
              </w:rPr>
              <w:t xml:space="preserve">Корр/сч _______________________________________________________________</w:t>
            </w:r>
          </w:p>
          <w:p>
            <w:pPr>
              <w:pStyle w:val="0"/>
              <w:ind w:firstLine="283"/>
              <w:jc w:val="both"/>
            </w:pPr>
            <w:r>
              <w:rPr>
                <w:sz w:val="20"/>
              </w:rPr>
              <w:t xml:space="preserve">Место нахождения ______________________________________________________</w:t>
            </w:r>
          </w:p>
          <w:p>
            <w:pPr>
              <w:pStyle w:val="0"/>
              <w:ind w:firstLine="283"/>
              <w:jc w:val="both"/>
            </w:pPr>
            <w:r>
              <w:rPr>
                <w:sz w:val="20"/>
              </w:rPr>
              <w:t xml:space="preserve">Почтовый адрес для направления корреспонденции __________________________</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Адрес электронной почты ________________________________________________</w:t>
            </w:r>
          </w:p>
          <w:p>
            <w:pPr>
              <w:pStyle w:val="0"/>
              <w:ind w:firstLine="283"/>
              <w:jc w:val="both"/>
            </w:pPr>
            <w:r>
              <w:rPr>
                <w:sz w:val="20"/>
              </w:rPr>
              <w:t xml:space="preserve">Телефон _______________________________________________________________</w:t>
            </w:r>
          </w:p>
          <w:p>
            <w:pPr>
              <w:pStyle w:val="0"/>
              <w:ind w:firstLine="283"/>
              <w:jc w:val="both"/>
            </w:pPr>
            <w:r>
              <w:rPr>
                <w:sz w:val="20"/>
              </w:rPr>
              <w:t xml:space="preserve">Прошу предоставить грант в размере _______________________ на финансовое обеспечение затрат на реализацию программы (проекта) в сфере культуры</w:t>
            </w:r>
          </w:p>
          <w:p>
            <w:pPr>
              <w:pStyle w:val="0"/>
              <w:jc w:val="both"/>
            </w:pPr>
            <w:r>
              <w:rPr>
                <w:sz w:val="20"/>
              </w:rPr>
              <w:t xml:space="preserve">"________________________________________________________________________</w:t>
            </w:r>
          </w:p>
          <w:p>
            <w:pPr>
              <w:pStyle w:val="0"/>
              <w:jc w:val="both"/>
            </w:pPr>
            <w:r>
              <w:rPr>
                <w:sz w:val="20"/>
              </w:rPr>
              <w:t xml:space="preserve">________________________________________________________________________".</w:t>
            </w:r>
          </w:p>
          <w:p>
            <w:pPr>
              <w:pStyle w:val="0"/>
              <w:jc w:val="center"/>
            </w:pPr>
            <w:r>
              <w:rPr>
                <w:sz w:val="20"/>
              </w:rPr>
              <w:t xml:space="preserve">(наименование программы (проекта))</w:t>
            </w:r>
          </w:p>
          <w:p>
            <w:pPr>
              <w:pStyle w:val="0"/>
              <w:ind w:firstLine="283"/>
              <w:jc w:val="both"/>
            </w:pPr>
            <w:r>
              <w:rPr>
                <w:sz w:val="20"/>
              </w:rPr>
              <w:t xml:space="preserve">Настоящим ____________________________________________________________</w:t>
            </w:r>
          </w:p>
          <w:p>
            <w:pPr>
              <w:pStyle w:val="0"/>
              <w:jc w:val="center"/>
            </w:pPr>
            <w:r>
              <w:rPr>
                <w:sz w:val="20"/>
              </w:rPr>
              <w:t xml:space="preserve">(Ф.И.О. руководителя (полностью))</w:t>
            </w:r>
          </w:p>
          <w:p>
            <w:pPr>
              <w:pStyle w:val="0"/>
              <w:jc w:val="both"/>
            </w:pPr>
            <w:r>
              <w:rPr>
                <w:sz w:val="20"/>
              </w:rPr>
              <w:t xml:space="preserve">подтверждаю, что _________________________________________________________</w:t>
            </w:r>
          </w:p>
          <w:p>
            <w:pPr>
              <w:pStyle w:val="0"/>
              <w:jc w:val="center"/>
            </w:pPr>
            <w:r>
              <w:rPr>
                <w:sz w:val="20"/>
              </w:rPr>
              <w:t xml:space="preserve">(наименование юридического лица)</w:t>
            </w:r>
          </w:p>
          <w:p>
            <w:pPr>
              <w:pStyle w:val="0"/>
              <w:jc w:val="both"/>
            </w:pPr>
            <w:r>
              <w:rPr>
                <w:sz w:val="20"/>
              </w:rPr>
              <w:t xml:space="preserve">соответствует требованиям и условиям, установленным </w:t>
            </w:r>
            <w:hyperlink w:history="0" w:anchor="P49" w:tooltip="2.2. На даты рассмотрения заявки на участие в отборе (далее - заявка) и заключения между Министерством и получателем гранта соглашения о предоставлении гранта (далее - Соглашение) участник отбора должен соответствовать следующим требованиям:">
              <w:r>
                <w:rPr>
                  <w:sz w:val="20"/>
                  <w:color w:val="0000ff"/>
                </w:rPr>
                <w:t xml:space="preserve">пунктами 2.2</w:t>
              </w:r>
            </w:hyperlink>
            <w:r>
              <w:rPr>
                <w:sz w:val="20"/>
              </w:rPr>
              <w:t xml:space="preserve">, </w:t>
            </w:r>
            <w:hyperlink w:history="0" w:anchor="P59" w:tooltip="2.3. На дату рассмотрения заявки участник отбора должен соответствовать следующим условиям:">
              <w:r>
                <w:rPr>
                  <w:sz w:val="20"/>
                  <w:color w:val="0000ff"/>
                </w:rPr>
                <w:t xml:space="preserve">2.3</w:t>
              </w:r>
            </w:hyperlink>
            <w:r>
              <w:rPr>
                <w:sz w:val="20"/>
              </w:rPr>
              <w:t xml:space="preserve"> Порядка предоставления грантов в форме субсидий социально ориентированным некоммерческим организациям на реализацию программ (проектов) в сфере культуры.</w:t>
            </w:r>
          </w:p>
          <w:p>
            <w:pPr>
              <w:pStyle w:val="0"/>
              <w:ind w:firstLine="283"/>
              <w:jc w:val="both"/>
            </w:pPr>
            <w:r>
              <w:rPr>
                <w:sz w:val="20"/>
              </w:rPr>
              <w:t xml:space="preserve">Настоящим подтверждаю актуальность и подлинность документов, представленных в составе настоящей заявки, и не возражаю против доступа к ней лиц, участвующих в рассмотрении документов.</w:t>
            </w:r>
          </w:p>
          <w:p>
            <w:pPr>
              <w:pStyle w:val="0"/>
              <w:ind w:firstLine="283"/>
              <w:jc w:val="both"/>
            </w:pPr>
            <w:r>
              <w:rPr>
                <w:sz w:val="20"/>
              </w:rPr>
              <w:t xml:space="preserve">Даю согласие на осуществление министерством культуры Воронежской области проверок соблюдения получателем гранта порядка и условий предоставления гранта, в том числе в части достижения результата предоставления гранта, а также на осуществление органами государственного финансового контроля проверок в соответствии со </w:t>
            </w:r>
            <w:hyperlink w:history="0" r:id="rId2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7"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 а также согласие на обработку персональных данных.</w:t>
            </w:r>
          </w:p>
          <w:p>
            <w:pPr>
              <w:pStyle w:val="0"/>
              <w:ind w:firstLine="283"/>
              <w:jc w:val="both"/>
            </w:pPr>
            <w:r>
              <w:rPr>
                <w:sz w:val="20"/>
              </w:rPr>
              <w:t xml:space="preserve">В соответствии с Порядком к заявке прилагаются документы на ____ л. в ____ экз.</w:t>
            </w:r>
          </w:p>
        </w:tc>
      </w:tr>
      <w:tr>
        <w:tc>
          <w:tcPr>
            <w:gridSpan w:val="4"/>
            <w:tcW w:w="9025" w:type="dxa"/>
            <w:tcBorders>
              <w:top w:val="nil"/>
              <w:left w:val="nil"/>
              <w:bottom w:val="nil"/>
              <w:right w:val="nil"/>
            </w:tcBorders>
          </w:tcPr>
          <w:p>
            <w:pPr>
              <w:pStyle w:val="0"/>
            </w:pPr>
            <w:r>
              <w:rPr>
                <w:sz w:val="20"/>
              </w:rPr>
            </w:r>
          </w:p>
        </w:tc>
      </w:tr>
      <w:tr>
        <w:tc>
          <w:tcPr>
            <w:tcW w:w="3458" w:type="dxa"/>
            <w:tcBorders>
              <w:top w:val="nil"/>
              <w:left w:val="nil"/>
              <w:bottom w:val="nil"/>
              <w:right w:val="nil"/>
            </w:tcBorders>
          </w:tcPr>
          <w:p>
            <w:pPr>
              <w:pStyle w:val="0"/>
            </w:pPr>
            <w:r>
              <w:rPr>
                <w:sz w:val="20"/>
              </w:rPr>
              <w:t xml:space="preserve">Руководитель участника отбора</w:t>
            </w:r>
          </w:p>
        </w:tc>
        <w:tc>
          <w:tcPr>
            <w:tcW w:w="1587" w:type="dxa"/>
            <w:tcBorders>
              <w:top w:val="nil"/>
              <w:left w:val="nil"/>
              <w:bottom w:val="nil"/>
              <w:right w:val="nil"/>
            </w:tcBorders>
          </w:tcPr>
          <w:p>
            <w:pPr>
              <w:pStyle w:val="0"/>
              <w:jc w:val="center"/>
            </w:pPr>
            <w:r>
              <w:rPr>
                <w:sz w:val="20"/>
              </w:rPr>
              <w:t xml:space="preserve">___________</w:t>
            </w:r>
          </w:p>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3640" w:type="dxa"/>
            <w:tcBorders>
              <w:top w:val="nil"/>
              <w:left w:val="nil"/>
              <w:bottom w:val="nil"/>
              <w:right w:val="nil"/>
            </w:tcBorders>
          </w:tcPr>
          <w:p>
            <w:pPr>
              <w:pStyle w:val="0"/>
              <w:jc w:val="center"/>
            </w:pPr>
            <w:r>
              <w:rPr>
                <w:sz w:val="20"/>
              </w:rPr>
              <w:t xml:space="preserve">__________________________</w:t>
            </w:r>
          </w:p>
          <w:p>
            <w:pPr>
              <w:pStyle w:val="0"/>
              <w:jc w:val="center"/>
            </w:pPr>
            <w:r>
              <w:rPr>
                <w:sz w:val="20"/>
              </w:rPr>
              <w:t xml:space="preserve">(Ф.И.О.)</w:t>
            </w:r>
          </w:p>
        </w:tc>
      </w:tr>
      <w:tr>
        <w:tc>
          <w:tcPr>
            <w:gridSpan w:val="4"/>
            <w:tcW w:w="9025" w:type="dxa"/>
            <w:tcBorders>
              <w:top w:val="nil"/>
              <w:left w:val="nil"/>
              <w:bottom w:val="nil"/>
              <w:right w:val="nil"/>
            </w:tcBorders>
          </w:tcPr>
          <w:p>
            <w:pPr>
              <w:pStyle w:val="0"/>
            </w:pPr>
            <w:r>
              <w:rPr>
                <w:sz w:val="20"/>
              </w:rPr>
              <w:t xml:space="preserve">Дата ______________</w:t>
            </w:r>
          </w:p>
          <w:p>
            <w:pPr>
              <w:pStyle w:val="0"/>
            </w:pPr>
            <w:r>
              <w:rPr>
                <w:sz w:val="20"/>
              </w:rPr>
              <w:t xml:space="preserve">МП (при наличии)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реализацию программ (проектов)</w:t>
      </w:r>
    </w:p>
    <w:p>
      <w:pPr>
        <w:pStyle w:val="0"/>
        <w:jc w:val="right"/>
      </w:pPr>
      <w:r>
        <w:rPr>
          <w:sz w:val="20"/>
        </w:rPr>
        <w:t xml:space="preserve">в сфере культуры</w:t>
      </w:r>
    </w:p>
    <w:p>
      <w:pPr>
        <w:pStyle w:val="0"/>
        <w:jc w:val="right"/>
      </w:pPr>
      <w:r>
        <w:rPr>
          <w:sz w:val="20"/>
        </w:rPr>
      </w:r>
    </w:p>
    <w:tbl>
      <w:tblPr>
        <w:tblInd w:w="0" w:type="dxa"/>
        <w:tblLayout w:type="fixed"/>
        <w:tblBorders>
          <w:left w:val="single" w:sz="4"/>
          <w:right w:val="single" w:sz="4"/>
          <w:insideV w:val="single" w:sz="4"/>
          <w:insideH w:val="single" w:sz="4"/>
        </w:tblBorders>
        <w:tblCellMar>
          <w:top w:w="102" w:type="dxa"/>
          <w:left w:w="62" w:type="dxa"/>
          <w:bottom w:w="102" w:type="dxa"/>
          <w:right w:w="62" w:type="dxa"/>
        </w:tblCellMar>
      </w:tblPr>
      <w:tblGrid>
        <w:gridCol w:w="709"/>
        <w:gridCol w:w="2806"/>
        <w:gridCol w:w="2208"/>
        <w:gridCol w:w="340"/>
        <w:gridCol w:w="637"/>
        <w:gridCol w:w="2324"/>
      </w:tblGrid>
      <w:tr>
        <w:tblPrEx>
          <w:tblBorders>
            <w:left w:val="nil"/>
            <w:right w:val="nil"/>
            <w:insideH w:val="nil"/>
          </w:tblBorders>
        </w:tblPrEx>
        <w:tc>
          <w:tcPr>
            <w:gridSpan w:val="6"/>
            <w:tcW w:w="9024" w:type="dxa"/>
            <w:tcBorders>
              <w:top w:val="nil"/>
              <w:left w:val="nil"/>
              <w:bottom w:val="nil"/>
              <w:right w:val="nil"/>
            </w:tcBorders>
          </w:tcPr>
          <w:bookmarkStart w:id="316" w:name="P316"/>
          <w:bookmarkEnd w:id="316"/>
          <w:p>
            <w:pPr>
              <w:pStyle w:val="0"/>
              <w:jc w:val="center"/>
            </w:pPr>
            <w:r>
              <w:rPr>
                <w:sz w:val="20"/>
              </w:rPr>
              <w:t xml:space="preserve">Паспорт программы (проекта)</w:t>
            </w:r>
          </w:p>
        </w:tc>
      </w:tr>
      <w:tr>
        <w:tblPrEx>
          <w:tblBorders>
            <w:left w:val="nil"/>
            <w:right w:val="nil"/>
            <w:insideH w:val="nil"/>
          </w:tblBorders>
        </w:tblPrEx>
        <w:tc>
          <w:tcPr>
            <w:gridSpan w:val="6"/>
            <w:tcW w:w="9024" w:type="dxa"/>
            <w:tcBorders>
              <w:top w:val="nil"/>
              <w:left w:val="nil"/>
              <w:bottom w:val="nil"/>
              <w:right w:val="nil"/>
            </w:tcBorders>
          </w:tcPr>
          <w:p>
            <w:pPr>
              <w:pStyle w:val="0"/>
              <w:ind w:firstLine="540"/>
              <w:jc w:val="both"/>
            </w:pPr>
            <w:r>
              <w:rPr>
                <w:sz w:val="20"/>
              </w:rPr>
            </w:r>
          </w:p>
        </w:tc>
      </w:tr>
      <w:tr>
        <w:tblPrEx>
          <w:tblBorders>
            <w:left w:val="nil"/>
            <w:right w:val="nil"/>
            <w:insideH w:val="nil"/>
          </w:tblBorders>
        </w:tblPrEx>
        <w:tc>
          <w:tcPr>
            <w:gridSpan w:val="6"/>
            <w:tcW w:w="9024" w:type="dxa"/>
            <w:tcBorders>
              <w:top w:val="nil"/>
              <w:left w:val="nil"/>
              <w:bottom w:val="nil"/>
              <w:right w:val="nil"/>
            </w:tcBorders>
          </w:tcPr>
          <w:p>
            <w:pPr>
              <w:pStyle w:val="0"/>
              <w:outlineLvl w:val="2"/>
              <w:ind w:firstLine="283"/>
              <w:jc w:val="both"/>
            </w:pPr>
            <w:r>
              <w:rPr>
                <w:sz w:val="20"/>
              </w:rPr>
              <w:t xml:space="preserve">I. Общая характеристика программы (проекта)</w:t>
            </w:r>
          </w:p>
        </w:tc>
      </w:tr>
      <w:tr>
        <w:tblPrEx>
          <w:tblBorders>
            <w:left w:val="nil"/>
            <w:right w:val="nil"/>
            <w:insideH w:val="nil"/>
          </w:tblBorders>
        </w:tblPrEx>
        <w:tc>
          <w:tcPr>
            <w:gridSpan w:val="6"/>
            <w:tcW w:w="9024" w:type="dxa"/>
            <w:tcBorders>
              <w:top w:val="nil"/>
              <w:left w:val="nil"/>
              <w:right w:val="nil"/>
            </w:tcBorders>
          </w:tcPr>
          <w:p>
            <w:pPr>
              <w:pStyle w:val="0"/>
            </w:pPr>
            <w:r>
              <w:rPr>
                <w:sz w:val="20"/>
              </w:rPr>
            </w:r>
          </w:p>
        </w:tc>
      </w:tr>
      <w:tr>
        <w:tc>
          <w:tcPr>
            <w:gridSpan w:val="5"/>
            <w:tcW w:w="6700" w:type="dxa"/>
          </w:tcPr>
          <w:p>
            <w:pPr>
              <w:pStyle w:val="0"/>
            </w:pPr>
            <w:r>
              <w:rPr>
                <w:sz w:val="20"/>
              </w:rPr>
              <w:t xml:space="preserve">Наименование программы (проекта)</w:t>
            </w:r>
          </w:p>
        </w:tc>
        <w:tc>
          <w:tcPr>
            <w:tcW w:w="2324" w:type="dxa"/>
          </w:tcPr>
          <w:p>
            <w:pPr>
              <w:pStyle w:val="0"/>
            </w:pPr>
            <w:r>
              <w:rPr>
                <w:sz w:val="20"/>
              </w:rPr>
            </w:r>
          </w:p>
        </w:tc>
      </w:tr>
      <w:tr>
        <w:tc>
          <w:tcPr>
            <w:gridSpan w:val="5"/>
            <w:tcW w:w="6700" w:type="dxa"/>
          </w:tcPr>
          <w:p>
            <w:pPr>
              <w:pStyle w:val="0"/>
            </w:pPr>
            <w:r>
              <w:rPr>
                <w:sz w:val="20"/>
              </w:rPr>
              <w:t xml:space="preserve">Цель и задачи программы (проекта)</w:t>
            </w:r>
          </w:p>
        </w:tc>
        <w:tc>
          <w:tcPr>
            <w:tcW w:w="2324" w:type="dxa"/>
          </w:tcPr>
          <w:p>
            <w:pPr>
              <w:pStyle w:val="0"/>
            </w:pPr>
            <w:r>
              <w:rPr>
                <w:sz w:val="20"/>
              </w:rPr>
            </w:r>
          </w:p>
        </w:tc>
      </w:tr>
      <w:tr>
        <w:tc>
          <w:tcPr>
            <w:gridSpan w:val="5"/>
            <w:tcW w:w="6700" w:type="dxa"/>
          </w:tcPr>
          <w:p>
            <w:pPr>
              <w:pStyle w:val="0"/>
            </w:pPr>
            <w:r>
              <w:rPr>
                <w:sz w:val="20"/>
              </w:rPr>
              <w:t xml:space="preserve">Инициатор программы (проекта)</w:t>
            </w:r>
          </w:p>
        </w:tc>
        <w:tc>
          <w:tcPr>
            <w:tcW w:w="2324" w:type="dxa"/>
          </w:tcPr>
          <w:p>
            <w:pPr>
              <w:pStyle w:val="0"/>
            </w:pPr>
            <w:r>
              <w:rPr>
                <w:sz w:val="20"/>
              </w:rPr>
            </w:r>
          </w:p>
        </w:tc>
      </w:tr>
      <w:tr>
        <w:tc>
          <w:tcPr>
            <w:gridSpan w:val="5"/>
            <w:tcW w:w="6700" w:type="dxa"/>
          </w:tcPr>
          <w:p>
            <w:pPr>
              <w:pStyle w:val="0"/>
            </w:pPr>
            <w:r>
              <w:rPr>
                <w:sz w:val="20"/>
              </w:rPr>
              <w:t xml:space="preserve">Продолжительность реализации программы (проекта) (количество месяцев)</w:t>
            </w:r>
          </w:p>
        </w:tc>
        <w:tc>
          <w:tcPr>
            <w:tcW w:w="2324" w:type="dxa"/>
          </w:tcPr>
          <w:p>
            <w:pPr>
              <w:pStyle w:val="0"/>
            </w:pPr>
            <w:r>
              <w:rPr>
                <w:sz w:val="20"/>
              </w:rPr>
            </w:r>
          </w:p>
        </w:tc>
      </w:tr>
      <w:tr>
        <w:tc>
          <w:tcPr>
            <w:gridSpan w:val="5"/>
            <w:tcW w:w="6700" w:type="dxa"/>
          </w:tcPr>
          <w:p>
            <w:pPr>
              <w:pStyle w:val="0"/>
            </w:pPr>
            <w:r>
              <w:rPr>
                <w:sz w:val="20"/>
              </w:rPr>
              <w:t xml:space="preserve">Дата начала реализации программы (проекта)</w:t>
            </w:r>
          </w:p>
        </w:tc>
        <w:tc>
          <w:tcPr>
            <w:tcW w:w="2324" w:type="dxa"/>
          </w:tcPr>
          <w:p>
            <w:pPr>
              <w:pStyle w:val="0"/>
            </w:pPr>
            <w:r>
              <w:rPr>
                <w:sz w:val="20"/>
              </w:rPr>
            </w:r>
          </w:p>
        </w:tc>
      </w:tr>
      <w:tr>
        <w:tc>
          <w:tcPr>
            <w:gridSpan w:val="5"/>
            <w:tcW w:w="6700" w:type="dxa"/>
          </w:tcPr>
          <w:p>
            <w:pPr>
              <w:pStyle w:val="0"/>
            </w:pPr>
            <w:r>
              <w:rPr>
                <w:sz w:val="20"/>
              </w:rPr>
              <w:t xml:space="preserve">Дата окончания реализации программы (проекта)</w:t>
            </w:r>
          </w:p>
        </w:tc>
        <w:tc>
          <w:tcPr>
            <w:tcW w:w="2324" w:type="dxa"/>
          </w:tcPr>
          <w:p>
            <w:pPr>
              <w:pStyle w:val="0"/>
            </w:pPr>
            <w:r>
              <w:rPr>
                <w:sz w:val="20"/>
              </w:rPr>
            </w:r>
          </w:p>
        </w:tc>
      </w:tr>
      <w:tr>
        <w:tc>
          <w:tcPr>
            <w:gridSpan w:val="5"/>
            <w:tcW w:w="6700" w:type="dxa"/>
          </w:tcPr>
          <w:p>
            <w:pPr>
              <w:pStyle w:val="0"/>
            </w:pPr>
            <w:r>
              <w:rPr>
                <w:sz w:val="20"/>
              </w:rPr>
              <w:t xml:space="preserve">Общие расходы по программе (проекту), тыс. рублей</w:t>
            </w:r>
          </w:p>
        </w:tc>
        <w:tc>
          <w:tcPr>
            <w:tcW w:w="2324" w:type="dxa"/>
          </w:tcPr>
          <w:p>
            <w:pPr>
              <w:pStyle w:val="0"/>
            </w:pPr>
            <w:r>
              <w:rPr>
                <w:sz w:val="20"/>
              </w:rPr>
            </w:r>
          </w:p>
        </w:tc>
      </w:tr>
      <w:tr>
        <w:tc>
          <w:tcPr>
            <w:gridSpan w:val="5"/>
            <w:tcW w:w="6700" w:type="dxa"/>
          </w:tcPr>
          <w:p>
            <w:pPr>
              <w:pStyle w:val="0"/>
            </w:pPr>
            <w:r>
              <w:rPr>
                <w:sz w:val="20"/>
              </w:rPr>
              <w:t xml:space="preserve">в том числе за счет:</w:t>
            </w:r>
          </w:p>
        </w:tc>
        <w:tc>
          <w:tcPr>
            <w:tcW w:w="2324" w:type="dxa"/>
          </w:tcPr>
          <w:p>
            <w:pPr>
              <w:pStyle w:val="0"/>
              <w:jc w:val="center"/>
            </w:pPr>
            <w:r>
              <w:rPr>
                <w:sz w:val="20"/>
              </w:rPr>
              <w:t xml:space="preserve">x</w:t>
            </w:r>
          </w:p>
        </w:tc>
      </w:tr>
      <w:tr>
        <w:tc>
          <w:tcPr>
            <w:gridSpan w:val="5"/>
            <w:tcW w:w="6700" w:type="dxa"/>
          </w:tcPr>
          <w:p>
            <w:pPr>
              <w:pStyle w:val="0"/>
            </w:pPr>
            <w:r>
              <w:rPr>
                <w:sz w:val="20"/>
              </w:rPr>
              <w:t xml:space="preserve">собственных средств, включая заемные средства</w:t>
            </w:r>
          </w:p>
        </w:tc>
        <w:tc>
          <w:tcPr>
            <w:tcW w:w="2324" w:type="dxa"/>
          </w:tcPr>
          <w:p>
            <w:pPr>
              <w:pStyle w:val="0"/>
            </w:pPr>
            <w:r>
              <w:rPr>
                <w:sz w:val="20"/>
              </w:rPr>
            </w:r>
          </w:p>
        </w:tc>
      </w:tr>
      <w:tr>
        <w:tc>
          <w:tcPr>
            <w:gridSpan w:val="5"/>
            <w:tcW w:w="6700" w:type="dxa"/>
          </w:tcPr>
          <w:p>
            <w:pPr>
              <w:pStyle w:val="0"/>
            </w:pPr>
            <w:r>
              <w:rPr>
                <w:sz w:val="20"/>
              </w:rPr>
              <w:t xml:space="preserve">средств грантов</w:t>
            </w:r>
          </w:p>
        </w:tc>
        <w:tc>
          <w:tcPr>
            <w:tcW w:w="2324" w:type="dxa"/>
          </w:tcPr>
          <w:p>
            <w:pPr>
              <w:pStyle w:val="0"/>
            </w:pPr>
            <w:r>
              <w:rPr>
                <w:sz w:val="20"/>
              </w:rPr>
            </w:r>
          </w:p>
        </w:tc>
      </w:tr>
      <w:tr>
        <w:tc>
          <w:tcPr>
            <w:gridSpan w:val="5"/>
            <w:tcW w:w="6700" w:type="dxa"/>
          </w:tcPr>
          <w:p>
            <w:pPr>
              <w:pStyle w:val="0"/>
            </w:pPr>
            <w:r>
              <w:rPr>
                <w:sz w:val="20"/>
              </w:rPr>
              <w:t xml:space="preserve">Целевая группа (категории благополучателей, их количество)</w:t>
            </w:r>
          </w:p>
        </w:tc>
        <w:tc>
          <w:tcPr>
            <w:tcW w:w="2324" w:type="dxa"/>
          </w:tcPr>
          <w:p>
            <w:pPr>
              <w:pStyle w:val="0"/>
            </w:pPr>
            <w:r>
              <w:rPr>
                <w:sz w:val="20"/>
              </w:rPr>
            </w:r>
          </w:p>
        </w:tc>
      </w:tr>
      <w:tr>
        <w:tblPrEx>
          <w:tblBorders>
            <w:left w:val="nil"/>
            <w:right w:val="nil"/>
            <w:insideH w:val="nil"/>
          </w:tblBorders>
        </w:tblPrEx>
        <w:tc>
          <w:tcPr>
            <w:gridSpan w:val="6"/>
            <w:tcW w:w="9024" w:type="dxa"/>
            <w:tcBorders>
              <w:left w:val="nil"/>
              <w:bottom w:val="nil"/>
              <w:right w:val="nil"/>
            </w:tcBorders>
          </w:tcPr>
          <w:p>
            <w:pPr>
              <w:pStyle w:val="0"/>
              <w:ind w:firstLine="283"/>
              <w:jc w:val="both"/>
            </w:pPr>
            <w:r>
              <w:rPr>
                <w:sz w:val="20"/>
              </w:rPr>
            </w:r>
          </w:p>
        </w:tc>
      </w:tr>
      <w:tr>
        <w:tblPrEx>
          <w:tblBorders>
            <w:left w:val="nil"/>
            <w:right w:val="nil"/>
            <w:insideH w:val="nil"/>
          </w:tblBorders>
        </w:tblPrEx>
        <w:tc>
          <w:tcPr>
            <w:gridSpan w:val="6"/>
            <w:tcW w:w="9024" w:type="dxa"/>
            <w:tcBorders>
              <w:top w:val="nil"/>
              <w:left w:val="nil"/>
              <w:bottom w:val="nil"/>
              <w:right w:val="nil"/>
            </w:tcBorders>
          </w:tcPr>
          <w:p>
            <w:pPr>
              <w:pStyle w:val="0"/>
              <w:outlineLvl w:val="2"/>
              <w:ind w:firstLine="283"/>
              <w:jc w:val="both"/>
            </w:pPr>
            <w:r>
              <w:rPr>
                <w:sz w:val="20"/>
              </w:rPr>
              <w:t xml:space="preserve">II. Описание проблемы, на решение которой направлена программа (проект), и обоснование ее актуальности (не более 1 - 2 страниц):</w:t>
            </w:r>
          </w:p>
          <w:p>
            <w:pPr>
              <w:pStyle w:val="0"/>
              <w:ind w:firstLine="283"/>
              <w:jc w:val="both"/>
            </w:pPr>
            <w:r>
              <w:rPr>
                <w:sz w:val="20"/>
              </w:rPr>
              <w:t xml:space="preserve">- характеристика текущей ситуации;</w:t>
            </w:r>
          </w:p>
          <w:p>
            <w:pPr>
              <w:pStyle w:val="0"/>
              <w:ind w:firstLine="283"/>
              <w:jc w:val="both"/>
            </w:pPr>
            <w:r>
              <w:rPr>
                <w:sz w:val="20"/>
              </w:rPr>
              <w:t xml:space="preserve">- обоснование необходимости реализации программы (проекта) (актуальность), общественная значимость;</w:t>
            </w:r>
          </w:p>
          <w:p>
            <w:pPr>
              <w:pStyle w:val="0"/>
              <w:ind w:firstLine="283"/>
              <w:jc w:val="both"/>
            </w:pPr>
            <w:r>
              <w:rPr>
                <w:sz w:val="20"/>
              </w:rPr>
              <w:t xml:space="preserve">- круг лиц, которых касается решаемая проблема;</w:t>
            </w:r>
          </w:p>
          <w:p>
            <w:pPr>
              <w:pStyle w:val="0"/>
              <w:ind w:firstLine="283"/>
              <w:jc w:val="both"/>
            </w:pPr>
            <w:r>
              <w:rPr>
                <w:sz w:val="20"/>
              </w:rPr>
              <w:t xml:space="preserve">- ожидаемые результаты, которые планируется достичь в ходе реализации программы (проекта);</w:t>
            </w:r>
          </w:p>
          <w:p>
            <w:pPr>
              <w:pStyle w:val="0"/>
              <w:ind w:firstLine="283"/>
              <w:jc w:val="both"/>
            </w:pPr>
            <w:r>
              <w:rPr>
                <w:sz w:val="20"/>
              </w:rPr>
              <w:t xml:space="preserve">- дальнейшее развитие программы (проекта), распространение опыта.</w:t>
            </w:r>
          </w:p>
          <w:p>
            <w:pPr>
              <w:pStyle w:val="0"/>
              <w:outlineLvl w:val="2"/>
              <w:ind w:firstLine="283"/>
              <w:jc w:val="both"/>
            </w:pPr>
            <w:r>
              <w:rPr>
                <w:sz w:val="20"/>
              </w:rPr>
              <w:t xml:space="preserve">III. Содержание программы (проекта):</w:t>
            </w:r>
          </w:p>
          <w:p>
            <w:pPr>
              <w:pStyle w:val="0"/>
              <w:ind w:firstLine="283"/>
              <w:jc w:val="both"/>
            </w:pPr>
            <w:r>
              <w:rPr>
                <w:sz w:val="20"/>
              </w:rPr>
              <w:t xml:space="preserve">- этапы реализации программы (проекта);</w:t>
            </w:r>
          </w:p>
          <w:p>
            <w:pPr>
              <w:pStyle w:val="0"/>
              <w:ind w:firstLine="283"/>
              <w:jc w:val="both"/>
            </w:pPr>
            <w:r>
              <w:rPr>
                <w:sz w:val="20"/>
              </w:rPr>
              <w:t xml:space="preserve">- основные планируемые виды деятельности (работ, услуг) в рамках реализации программы (проекта);</w:t>
            </w:r>
          </w:p>
          <w:p>
            <w:pPr>
              <w:pStyle w:val="0"/>
              <w:ind w:firstLine="283"/>
              <w:jc w:val="both"/>
            </w:pPr>
            <w:r>
              <w:rPr>
                <w:sz w:val="20"/>
              </w:rPr>
              <w:t xml:space="preserve">- планируемые (предполагаемые) расходы в рамках реализации программы (проекта) за счет средств грантов в соответствии с </w:t>
            </w:r>
            <w:hyperlink w:history="0" w:anchor="P159" w:tooltip="2.20. Гранты предоставляются в целях финансового обеспечения следующих расходов, связанных с реализацией программы (проекта) в сфере культуры:">
              <w:r>
                <w:rPr>
                  <w:sz w:val="20"/>
                  <w:color w:val="0000ff"/>
                </w:rPr>
                <w:t xml:space="preserve">пунктом 2.20</w:t>
              </w:r>
            </w:hyperlink>
            <w:r>
              <w:rPr>
                <w:sz w:val="20"/>
              </w:rPr>
              <w:t xml:space="preserve"> настоящего Порядка предоставления грантов в форме субсидий социально ориентированным некоммерческим организациям на реализацию программ (проектов) в сфере культуры:</w:t>
            </w:r>
          </w:p>
        </w:tc>
      </w:tr>
      <w:tr>
        <w:tblPrEx>
          <w:tblBorders>
            <w:left w:val="nil"/>
            <w:right w:val="nil"/>
            <w:insideH w:val="nil"/>
          </w:tblBorders>
        </w:tblPrEx>
        <w:tc>
          <w:tcPr>
            <w:gridSpan w:val="6"/>
            <w:tcW w:w="9024" w:type="dxa"/>
            <w:tcBorders>
              <w:top w:val="nil"/>
              <w:left w:val="nil"/>
              <w:right w:val="nil"/>
            </w:tcBorders>
          </w:tcPr>
          <w:p>
            <w:pPr>
              <w:pStyle w:val="0"/>
              <w:jc w:val="both"/>
            </w:pPr>
            <w:r>
              <w:rPr>
                <w:sz w:val="20"/>
              </w:rPr>
            </w:r>
          </w:p>
        </w:tc>
      </w:tr>
      <w:tr>
        <w:tc>
          <w:tcPr>
            <w:tcW w:w="709" w:type="dxa"/>
          </w:tcPr>
          <w:p>
            <w:pPr>
              <w:pStyle w:val="0"/>
              <w:jc w:val="center"/>
            </w:pPr>
            <w:r>
              <w:rPr>
                <w:sz w:val="20"/>
              </w:rPr>
              <w:t xml:space="preserve">N п/п</w:t>
            </w:r>
          </w:p>
        </w:tc>
        <w:tc>
          <w:tcPr>
            <w:gridSpan w:val="2"/>
            <w:tcW w:w="5014" w:type="dxa"/>
          </w:tcPr>
          <w:p>
            <w:pPr>
              <w:pStyle w:val="0"/>
              <w:jc w:val="center"/>
            </w:pPr>
            <w:r>
              <w:rPr>
                <w:sz w:val="20"/>
              </w:rPr>
              <w:t xml:space="preserve">Наименование расходов</w:t>
            </w:r>
          </w:p>
        </w:tc>
        <w:tc>
          <w:tcPr>
            <w:gridSpan w:val="3"/>
            <w:tcW w:w="3301" w:type="dxa"/>
          </w:tcPr>
          <w:p>
            <w:pPr>
              <w:pStyle w:val="0"/>
              <w:jc w:val="center"/>
            </w:pPr>
            <w:r>
              <w:rPr>
                <w:sz w:val="20"/>
              </w:rPr>
              <w:t xml:space="preserve">Стоимость (рублей)</w:t>
            </w:r>
          </w:p>
        </w:tc>
      </w:tr>
      <w:tr>
        <w:tc>
          <w:tcPr>
            <w:tcW w:w="709" w:type="dxa"/>
          </w:tcPr>
          <w:p>
            <w:pPr>
              <w:pStyle w:val="0"/>
            </w:pPr>
            <w:r>
              <w:rPr>
                <w:sz w:val="20"/>
              </w:rPr>
            </w:r>
          </w:p>
        </w:tc>
        <w:tc>
          <w:tcPr>
            <w:gridSpan w:val="2"/>
            <w:tcW w:w="5014" w:type="dxa"/>
          </w:tcPr>
          <w:p>
            <w:pPr>
              <w:pStyle w:val="0"/>
            </w:pPr>
            <w:r>
              <w:rPr>
                <w:sz w:val="20"/>
              </w:rPr>
            </w:r>
          </w:p>
        </w:tc>
        <w:tc>
          <w:tcPr>
            <w:gridSpan w:val="3"/>
            <w:tcW w:w="3301" w:type="dxa"/>
          </w:tcPr>
          <w:p>
            <w:pPr>
              <w:pStyle w:val="0"/>
            </w:pPr>
            <w:r>
              <w:rPr>
                <w:sz w:val="20"/>
              </w:rPr>
            </w:r>
          </w:p>
        </w:tc>
      </w:tr>
      <w:tr>
        <w:tc>
          <w:tcPr>
            <w:tcW w:w="709" w:type="dxa"/>
          </w:tcPr>
          <w:p>
            <w:pPr>
              <w:pStyle w:val="0"/>
            </w:pPr>
            <w:r>
              <w:rPr>
                <w:sz w:val="20"/>
              </w:rPr>
            </w:r>
          </w:p>
        </w:tc>
        <w:tc>
          <w:tcPr>
            <w:gridSpan w:val="2"/>
            <w:tcW w:w="5014" w:type="dxa"/>
          </w:tcPr>
          <w:p>
            <w:pPr>
              <w:pStyle w:val="0"/>
            </w:pPr>
            <w:r>
              <w:rPr>
                <w:sz w:val="20"/>
              </w:rPr>
            </w:r>
          </w:p>
        </w:tc>
        <w:tc>
          <w:tcPr>
            <w:gridSpan w:val="3"/>
            <w:tcW w:w="3301" w:type="dxa"/>
          </w:tcPr>
          <w:p>
            <w:pPr>
              <w:pStyle w:val="0"/>
            </w:pPr>
            <w:r>
              <w:rPr>
                <w:sz w:val="20"/>
              </w:rPr>
            </w:r>
          </w:p>
        </w:tc>
      </w:tr>
      <w:tr>
        <w:tc>
          <w:tcPr>
            <w:tcW w:w="709" w:type="dxa"/>
          </w:tcPr>
          <w:p>
            <w:pPr>
              <w:pStyle w:val="0"/>
            </w:pPr>
            <w:r>
              <w:rPr>
                <w:sz w:val="20"/>
              </w:rPr>
            </w:r>
          </w:p>
        </w:tc>
        <w:tc>
          <w:tcPr>
            <w:gridSpan w:val="2"/>
            <w:tcW w:w="5014" w:type="dxa"/>
          </w:tcPr>
          <w:p>
            <w:pPr>
              <w:pStyle w:val="0"/>
            </w:pPr>
            <w:r>
              <w:rPr>
                <w:sz w:val="20"/>
              </w:rPr>
            </w:r>
          </w:p>
        </w:tc>
        <w:tc>
          <w:tcPr>
            <w:gridSpan w:val="3"/>
            <w:tcW w:w="3301" w:type="dxa"/>
          </w:tcPr>
          <w:p>
            <w:pPr>
              <w:pStyle w:val="0"/>
            </w:pPr>
            <w:r>
              <w:rPr>
                <w:sz w:val="20"/>
              </w:rPr>
            </w:r>
          </w:p>
        </w:tc>
      </w:tr>
      <w:tr>
        <w:tc>
          <w:tcPr>
            <w:gridSpan w:val="3"/>
            <w:tcW w:w="5723" w:type="dxa"/>
          </w:tcPr>
          <w:p>
            <w:pPr>
              <w:pStyle w:val="0"/>
            </w:pPr>
            <w:r>
              <w:rPr>
                <w:sz w:val="20"/>
              </w:rPr>
              <w:t xml:space="preserve">Итого</w:t>
            </w:r>
          </w:p>
        </w:tc>
        <w:tc>
          <w:tcPr>
            <w:gridSpan w:val="3"/>
            <w:tcW w:w="3301" w:type="dxa"/>
          </w:tcPr>
          <w:p>
            <w:pPr>
              <w:pStyle w:val="0"/>
            </w:pPr>
            <w:r>
              <w:rPr>
                <w:sz w:val="20"/>
              </w:rPr>
            </w:r>
          </w:p>
        </w:tc>
      </w:tr>
      <w:tr>
        <w:tblPrEx>
          <w:tblBorders>
            <w:left w:val="nil"/>
            <w:right w:val="nil"/>
            <w:insideH w:val="nil"/>
          </w:tblBorders>
        </w:tblPrEx>
        <w:tc>
          <w:tcPr>
            <w:gridSpan w:val="6"/>
            <w:tcW w:w="9024" w:type="dxa"/>
            <w:tcBorders>
              <w:left w:val="nil"/>
              <w:bottom w:val="nil"/>
              <w:right w:val="nil"/>
            </w:tcBorders>
          </w:tcPr>
          <w:p>
            <w:pPr>
              <w:pStyle w:val="0"/>
              <w:jc w:val="both"/>
            </w:pPr>
            <w:r>
              <w:rPr>
                <w:sz w:val="20"/>
              </w:rPr>
            </w:r>
          </w:p>
        </w:tc>
      </w:tr>
      <w:tr>
        <w:tblPrEx>
          <w:tblBorders>
            <w:left w:val="nil"/>
            <w:right w:val="nil"/>
            <w:insideH w:val="nil"/>
          </w:tblBorders>
        </w:tblPrEx>
        <w:tc>
          <w:tcPr>
            <w:gridSpan w:val="6"/>
            <w:tcW w:w="9024" w:type="dxa"/>
            <w:tcBorders>
              <w:top w:val="nil"/>
              <w:left w:val="nil"/>
              <w:bottom w:val="nil"/>
              <w:right w:val="nil"/>
            </w:tcBorders>
          </w:tcPr>
          <w:p>
            <w:pPr>
              <w:pStyle w:val="0"/>
              <w:ind w:firstLine="283"/>
              <w:jc w:val="both"/>
            </w:pPr>
            <w:r>
              <w:rPr>
                <w:sz w:val="20"/>
              </w:rPr>
              <w:t xml:space="preserve">- планируемые (предполагаемые) расходы в рамках реализации программы (проекта) за счет собственных средств (софинансирование):</w:t>
            </w:r>
          </w:p>
        </w:tc>
      </w:tr>
      <w:tr>
        <w:tblPrEx>
          <w:tblBorders>
            <w:left w:val="nil"/>
            <w:right w:val="nil"/>
            <w:insideH w:val="nil"/>
          </w:tblBorders>
        </w:tblPrEx>
        <w:tc>
          <w:tcPr>
            <w:gridSpan w:val="6"/>
            <w:tcW w:w="9024" w:type="dxa"/>
            <w:tcBorders>
              <w:top w:val="nil"/>
              <w:left w:val="nil"/>
              <w:right w:val="nil"/>
            </w:tcBorders>
          </w:tcPr>
          <w:p>
            <w:pPr>
              <w:pStyle w:val="0"/>
              <w:jc w:val="both"/>
            </w:pPr>
            <w:r>
              <w:rPr>
                <w:sz w:val="20"/>
              </w:rPr>
            </w:r>
          </w:p>
        </w:tc>
      </w:tr>
      <w:tr>
        <w:tc>
          <w:tcPr>
            <w:tcW w:w="709" w:type="dxa"/>
          </w:tcPr>
          <w:p>
            <w:pPr>
              <w:pStyle w:val="0"/>
              <w:jc w:val="center"/>
            </w:pPr>
            <w:r>
              <w:rPr>
                <w:sz w:val="20"/>
              </w:rPr>
              <w:t xml:space="preserve">N п/п</w:t>
            </w:r>
          </w:p>
        </w:tc>
        <w:tc>
          <w:tcPr>
            <w:gridSpan w:val="2"/>
            <w:tcW w:w="5014" w:type="dxa"/>
          </w:tcPr>
          <w:p>
            <w:pPr>
              <w:pStyle w:val="0"/>
              <w:jc w:val="center"/>
            </w:pPr>
            <w:r>
              <w:rPr>
                <w:sz w:val="20"/>
              </w:rPr>
              <w:t xml:space="preserve">Наименование расходов</w:t>
            </w:r>
          </w:p>
        </w:tc>
        <w:tc>
          <w:tcPr>
            <w:gridSpan w:val="3"/>
            <w:tcW w:w="3301" w:type="dxa"/>
          </w:tcPr>
          <w:p>
            <w:pPr>
              <w:pStyle w:val="0"/>
              <w:jc w:val="center"/>
            </w:pPr>
            <w:r>
              <w:rPr>
                <w:sz w:val="20"/>
              </w:rPr>
              <w:t xml:space="preserve">Стоимость (рублей)</w:t>
            </w:r>
          </w:p>
        </w:tc>
      </w:tr>
      <w:tr>
        <w:tc>
          <w:tcPr>
            <w:tcW w:w="709" w:type="dxa"/>
          </w:tcPr>
          <w:p>
            <w:pPr>
              <w:pStyle w:val="0"/>
            </w:pPr>
            <w:r>
              <w:rPr>
                <w:sz w:val="20"/>
              </w:rPr>
            </w:r>
          </w:p>
        </w:tc>
        <w:tc>
          <w:tcPr>
            <w:gridSpan w:val="2"/>
            <w:tcW w:w="5014" w:type="dxa"/>
          </w:tcPr>
          <w:p>
            <w:pPr>
              <w:pStyle w:val="0"/>
            </w:pPr>
            <w:r>
              <w:rPr>
                <w:sz w:val="20"/>
              </w:rPr>
            </w:r>
          </w:p>
        </w:tc>
        <w:tc>
          <w:tcPr>
            <w:gridSpan w:val="3"/>
            <w:tcW w:w="3301" w:type="dxa"/>
          </w:tcPr>
          <w:p>
            <w:pPr>
              <w:pStyle w:val="0"/>
            </w:pPr>
            <w:r>
              <w:rPr>
                <w:sz w:val="20"/>
              </w:rPr>
            </w:r>
          </w:p>
        </w:tc>
      </w:tr>
      <w:tr>
        <w:tc>
          <w:tcPr>
            <w:tcW w:w="709" w:type="dxa"/>
          </w:tcPr>
          <w:p>
            <w:pPr>
              <w:pStyle w:val="0"/>
            </w:pPr>
            <w:r>
              <w:rPr>
                <w:sz w:val="20"/>
              </w:rPr>
            </w:r>
          </w:p>
        </w:tc>
        <w:tc>
          <w:tcPr>
            <w:gridSpan w:val="2"/>
            <w:tcW w:w="5014" w:type="dxa"/>
          </w:tcPr>
          <w:p>
            <w:pPr>
              <w:pStyle w:val="0"/>
            </w:pPr>
            <w:r>
              <w:rPr>
                <w:sz w:val="20"/>
              </w:rPr>
            </w:r>
          </w:p>
        </w:tc>
        <w:tc>
          <w:tcPr>
            <w:gridSpan w:val="3"/>
            <w:tcW w:w="3301" w:type="dxa"/>
          </w:tcPr>
          <w:p>
            <w:pPr>
              <w:pStyle w:val="0"/>
            </w:pPr>
            <w:r>
              <w:rPr>
                <w:sz w:val="20"/>
              </w:rPr>
            </w:r>
          </w:p>
        </w:tc>
      </w:tr>
      <w:tr>
        <w:tc>
          <w:tcPr>
            <w:tcW w:w="709" w:type="dxa"/>
          </w:tcPr>
          <w:p>
            <w:pPr>
              <w:pStyle w:val="0"/>
            </w:pPr>
            <w:r>
              <w:rPr>
                <w:sz w:val="20"/>
              </w:rPr>
            </w:r>
          </w:p>
        </w:tc>
        <w:tc>
          <w:tcPr>
            <w:gridSpan w:val="2"/>
            <w:tcW w:w="5014" w:type="dxa"/>
          </w:tcPr>
          <w:p>
            <w:pPr>
              <w:pStyle w:val="0"/>
            </w:pPr>
            <w:r>
              <w:rPr>
                <w:sz w:val="20"/>
              </w:rPr>
            </w:r>
          </w:p>
        </w:tc>
        <w:tc>
          <w:tcPr>
            <w:gridSpan w:val="3"/>
            <w:tcW w:w="3301" w:type="dxa"/>
          </w:tcPr>
          <w:p>
            <w:pPr>
              <w:pStyle w:val="0"/>
            </w:pPr>
            <w:r>
              <w:rPr>
                <w:sz w:val="20"/>
              </w:rPr>
            </w:r>
          </w:p>
        </w:tc>
      </w:tr>
      <w:tr>
        <w:tc>
          <w:tcPr>
            <w:gridSpan w:val="3"/>
            <w:tcW w:w="5723" w:type="dxa"/>
          </w:tcPr>
          <w:p>
            <w:pPr>
              <w:pStyle w:val="0"/>
            </w:pPr>
            <w:r>
              <w:rPr>
                <w:sz w:val="20"/>
              </w:rPr>
              <w:t xml:space="preserve">Итого</w:t>
            </w:r>
          </w:p>
        </w:tc>
        <w:tc>
          <w:tcPr>
            <w:gridSpan w:val="3"/>
            <w:tcW w:w="3301" w:type="dxa"/>
          </w:tcPr>
          <w:p>
            <w:pPr>
              <w:pStyle w:val="0"/>
            </w:pPr>
            <w:r>
              <w:rPr>
                <w:sz w:val="20"/>
              </w:rPr>
            </w:r>
          </w:p>
        </w:tc>
      </w:tr>
      <w:tr>
        <w:tblPrEx>
          <w:tblBorders>
            <w:left w:val="nil"/>
            <w:right w:val="nil"/>
            <w:insideH w:val="nil"/>
          </w:tblBorders>
        </w:tblPrEx>
        <w:tc>
          <w:tcPr>
            <w:gridSpan w:val="6"/>
            <w:tcW w:w="9024" w:type="dxa"/>
            <w:tcBorders>
              <w:left w:val="nil"/>
              <w:bottom w:val="nil"/>
              <w:right w:val="nil"/>
            </w:tcBorders>
          </w:tcPr>
          <w:p>
            <w:pPr>
              <w:pStyle w:val="0"/>
              <w:jc w:val="both"/>
            </w:pPr>
            <w:r>
              <w:rPr>
                <w:sz w:val="20"/>
              </w:rPr>
            </w:r>
          </w:p>
        </w:tc>
      </w:tr>
      <w:tr>
        <w:tblPrEx>
          <w:tblBorders>
            <w:left w:val="nil"/>
            <w:right w:val="nil"/>
            <w:insideV w:val="nil"/>
            <w:insideH w:val="nil"/>
          </w:tblBorders>
        </w:tblPrEx>
        <w:tc>
          <w:tcPr>
            <w:gridSpan w:val="2"/>
            <w:tcW w:w="3515" w:type="dxa"/>
            <w:tcBorders>
              <w:top w:val="nil"/>
              <w:bottom w:val="nil"/>
            </w:tcBorders>
          </w:tcPr>
          <w:p>
            <w:pPr>
              <w:pStyle w:val="0"/>
            </w:pPr>
            <w:r>
              <w:rPr>
                <w:sz w:val="20"/>
              </w:rPr>
              <w:t xml:space="preserve">Руководитель участника отбора</w:t>
            </w:r>
          </w:p>
        </w:tc>
        <w:tc>
          <w:tcPr>
            <w:tcW w:w="2208" w:type="dxa"/>
            <w:tcBorders>
              <w:top w:val="nil"/>
              <w:bottom w:val="nil"/>
            </w:tcBorders>
          </w:tcPr>
          <w:p>
            <w:pPr>
              <w:pStyle w:val="0"/>
              <w:jc w:val="center"/>
            </w:pPr>
            <w:r>
              <w:rPr>
                <w:sz w:val="20"/>
              </w:rPr>
              <w:t xml:space="preserve">_______________</w:t>
            </w:r>
          </w:p>
          <w:p>
            <w:pPr>
              <w:pStyle w:val="0"/>
              <w:jc w:val="center"/>
            </w:pPr>
            <w:r>
              <w:rPr>
                <w:sz w:val="20"/>
              </w:rPr>
              <w:t xml:space="preserve">(подпись)</w:t>
            </w:r>
          </w:p>
        </w:tc>
        <w:tc>
          <w:tcPr>
            <w:tcW w:w="340" w:type="dxa"/>
            <w:tcBorders>
              <w:top w:val="nil"/>
              <w:bottom w:val="nil"/>
            </w:tcBorders>
          </w:tcPr>
          <w:p>
            <w:pPr>
              <w:pStyle w:val="0"/>
              <w:jc w:val="center"/>
            </w:pPr>
            <w:r>
              <w:rPr>
                <w:sz w:val="20"/>
              </w:rPr>
            </w:r>
          </w:p>
        </w:tc>
        <w:tc>
          <w:tcPr>
            <w:gridSpan w:val="2"/>
            <w:tcW w:w="2961" w:type="dxa"/>
            <w:tcBorders>
              <w:top w:val="nil"/>
              <w:bottom w:val="nil"/>
            </w:tcBorders>
          </w:tcPr>
          <w:p>
            <w:pPr>
              <w:pStyle w:val="0"/>
              <w:jc w:val="center"/>
            </w:pPr>
            <w:r>
              <w:rPr>
                <w:sz w:val="20"/>
              </w:rPr>
              <w:t xml:space="preserve">_____________________</w:t>
            </w:r>
          </w:p>
          <w:p>
            <w:pPr>
              <w:pStyle w:val="0"/>
              <w:jc w:val="center"/>
            </w:pPr>
            <w:r>
              <w:rPr>
                <w:sz w:val="20"/>
              </w:rPr>
              <w:t xml:space="preserve">(Ф.И.О.)</w:t>
            </w:r>
          </w:p>
        </w:tc>
      </w:tr>
      <w:tr>
        <w:tblPrEx>
          <w:tblBorders>
            <w:left w:val="nil"/>
            <w:right w:val="nil"/>
            <w:insideH w:val="nil"/>
          </w:tblBorders>
        </w:tblPrEx>
        <w:tc>
          <w:tcPr>
            <w:gridSpan w:val="6"/>
            <w:tcW w:w="9024" w:type="dxa"/>
            <w:tcBorders>
              <w:top w:val="nil"/>
              <w:left w:val="nil"/>
              <w:bottom w:val="nil"/>
              <w:right w:val="nil"/>
            </w:tcBorders>
          </w:tcPr>
          <w:p>
            <w:pPr>
              <w:pStyle w:val="0"/>
            </w:pPr>
            <w:r>
              <w:rPr>
                <w:sz w:val="20"/>
              </w:rPr>
            </w:r>
          </w:p>
        </w:tc>
      </w:tr>
      <w:tr>
        <w:tblPrEx>
          <w:tblBorders>
            <w:left w:val="nil"/>
            <w:right w:val="nil"/>
            <w:insideH w:val="nil"/>
          </w:tblBorders>
        </w:tblPrEx>
        <w:tc>
          <w:tcPr>
            <w:gridSpan w:val="6"/>
            <w:tcW w:w="9024" w:type="dxa"/>
            <w:tcBorders>
              <w:top w:val="nil"/>
              <w:left w:val="nil"/>
              <w:bottom w:val="nil"/>
              <w:right w:val="nil"/>
            </w:tcBorders>
          </w:tcPr>
          <w:p>
            <w:pPr>
              <w:pStyle w:val="0"/>
              <w:ind w:firstLine="283"/>
              <w:jc w:val="both"/>
            </w:pPr>
            <w:r>
              <w:rPr>
                <w:sz w:val="20"/>
              </w:rPr>
              <w:t xml:space="preserve">Дата ______________</w:t>
            </w:r>
          </w:p>
          <w:p>
            <w:pPr>
              <w:pStyle w:val="0"/>
              <w:ind w:firstLine="283"/>
              <w:jc w:val="both"/>
            </w:pPr>
            <w:r>
              <w:rPr>
                <w:sz w:val="20"/>
              </w:rPr>
              <w:t xml:space="preserve">МП (при наличии)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реализацию программ (проектов)</w:t>
      </w:r>
    </w:p>
    <w:p>
      <w:pPr>
        <w:pStyle w:val="0"/>
        <w:jc w:val="right"/>
      </w:pPr>
      <w:r>
        <w:rPr>
          <w:sz w:val="20"/>
        </w:rPr>
        <w:t xml:space="preserve">в сфере культуры</w:t>
      </w:r>
    </w:p>
    <w:p>
      <w:pPr>
        <w:pStyle w:val="0"/>
        <w:ind w:firstLine="540"/>
        <w:jc w:val="both"/>
      </w:pPr>
      <w:r>
        <w:rPr>
          <w:sz w:val="20"/>
        </w:rPr>
      </w:r>
    </w:p>
    <w:bookmarkStart w:id="408" w:name="P408"/>
    <w:bookmarkEnd w:id="408"/>
    <w:p>
      <w:pPr>
        <w:pStyle w:val="2"/>
        <w:jc w:val="center"/>
      </w:pPr>
      <w:r>
        <w:rPr>
          <w:sz w:val="20"/>
        </w:rPr>
        <w:t xml:space="preserve">Критерии оценки заявки участников отбора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5750"/>
        <w:gridCol w:w="1552"/>
        <w:gridCol w:w="1130"/>
      </w:tblGrid>
      <w:tr>
        <w:tc>
          <w:tcPr>
            <w:tcW w:w="624" w:type="dxa"/>
          </w:tcPr>
          <w:p>
            <w:pPr>
              <w:pStyle w:val="0"/>
              <w:jc w:val="center"/>
            </w:pPr>
            <w:r>
              <w:rPr>
                <w:sz w:val="20"/>
              </w:rPr>
              <w:t xml:space="preserve">N п/п</w:t>
            </w:r>
          </w:p>
        </w:tc>
        <w:tc>
          <w:tcPr>
            <w:tcW w:w="5750" w:type="dxa"/>
          </w:tcPr>
          <w:p>
            <w:pPr>
              <w:pStyle w:val="0"/>
              <w:jc w:val="center"/>
            </w:pPr>
            <w:r>
              <w:rPr>
                <w:sz w:val="20"/>
              </w:rPr>
              <w:t xml:space="preserve">Наименование критерия оценки заявок</w:t>
            </w:r>
          </w:p>
        </w:tc>
        <w:tc>
          <w:tcPr>
            <w:tcW w:w="1552" w:type="dxa"/>
          </w:tcPr>
          <w:p>
            <w:pPr>
              <w:pStyle w:val="0"/>
              <w:jc w:val="center"/>
            </w:pPr>
            <w:r>
              <w:rPr>
                <w:sz w:val="20"/>
              </w:rPr>
              <w:t xml:space="preserve">Оценка по результатам рассмотрения заявки (количество баллов)</w:t>
            </w:r>
          </w:p>
        </w:tc>
        <w:tc>
          <w:tcPr>
            <w:tcW w:w="1130" w:type="dxa"/>
          </w:tcPr>
          <w:p>
            <w:pPr>
              <w:pStyle w:val="0"/>
              <w:jc w:val="center"/>
            </w:pPr>
            <w:r>
              <w:rPr>
                <w:sz w:val="20"/>
              </w:rPr>
              <w:t xml:space="preserve">Весовое значение критерия</w:t>
            </w:r>
          </w:p>
        </w:tc>
      </w:tr>
      <w:tr>
        <w:tc>
          <w:tcPr>
            <w:tcW w:w="624" w:type="dxa"/>
          </w:tcPr>
          <w:p>
            <w:pPr>
              <w:pStyle w:val="0"/>
              <w:jc w:val="center"/>
            </w:pPr>
            <w:r>
              <w:rPr>
                <w:sz w:val="20"/>
              </w:rPr>
              <w:t xml:space="preserve">1</w:t>
            </w:r>
          </w:p>
        </w:tc>
        <w:tc>
          <w:tcPr>
            <w:tcW w:w="5750" w:type="dxa"/>
          </w:tcPr>
          <w:p>
            <w:pPr>
              <w:pStyle w:val="0"/>
              <w:jc w:val="center"/>
            </w:pPr>
            <w:r>
              <w:rPr>
                <w:sz w:val="20"/>
              </w:rPr>
              <w:t xml:space="preserve">2</w:t>
            </w:r>
          </w:p>
        </w:tc>
        <w:tc>
          <w:tcPr>
            <w:tcW w:w="1552" w:type="dxa"/>
          </w:tcPr>
          <w:p>
            <w:pPr>
              <w:pStyle w:val="0"/>
              <w:jc w:val="center"/>
            </w:pPr>
            <w:r>
              <w:rPr>
                <w:sz w:val="20"/>
              </w:rPr>
              <w:t xml:space="preserve">3</w:t>
            </w:r>
          </w:p>
        </w:tc>
        <w:tc>
          <w:tcPr>
            <w:tcW w:w="1130" w:type="dxa"/>
          </w:tcPr>
          <w:p>
            <w:pPr>
              <w:pStyle w:val="0"/>
              <w:jc w:val="center"/>
            </w:pPr>
            <w:r>
              <w:rPr>
                <w:sz w:val="20"/>
              </w:rPr>
              <w:t xml:space="preserve">4</w:t>
            </w:r>
          </w:p>
        </w:tc>
      </w:tr>
      <w:tr>
        <w:tc>
          <w:tcPr>
            <w:tcW w:w="624" w:type="dxa"/>
          </w:tcPr>
          <w:p>
            <w:pPr>
              <w:pStyle w:val="0"/>
              <w:outlineLvl w:val="2"/>
            </w:pPr>
            <w:r>
              <w:rPr>
                <w:sz w:val="20"/>
              </w:rPr>
              <w:t xml:space="preserve">1</w:t>
            </w:r>
          </w:p>
        </w:tc>
        <w:tc>
          <w:tcPr>
            <w:tcW w:w="5750" w:type="dxa"/>
          </w:tcPr>
          <w:p>
            <w:pPr>
              <w:pStyle w:val="0"/>
              <w:jc w:val="both"/>
            </w:pPr>
            <w:r>
              <w:rPr>
                <w:sz w:val="20"/>
              </w:rPr>
              <w:t xml:space="preserve">Актуальность и значимость проекта</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1.1</w:t>
            </w:r>
          </w:p>
        </w:tc>
        <w:tc>
          <w:tcPr>
            <w:tcW w:w="5750" w:type="dxa"/>
          </w:tcPr>
          <w:p>
            <w:pPr>
              <w:pStyle w:val="0"/>
              <w:jc w:val="both"/>
            </w:pPr>
            <w:r>
              <w:rPr>
                <w:sz w:val="20"/>
              </w:rPr>
              <w:t xml:space="preserve">Актуальность и социальная значимость проекта убедительно доказаны:</w:t>
            </w:r>
          </w:p>
          <w:p>
            <w:pPr>
              <w:pStyle w:val="0"/>
              <w:jc w:val="both"/>
            </w:pPr>
            <w:r>
              <w:rPr>
                <w:sz w:val="20"/>
              </w:rPr>
              <w:t xml:space="preserve">- проблемы, на решение которых направлен проект, детально раскрыты, их описание аргументировано и подкреплено конкретными количественными и (или) качественными показателями, в том числе обеспечивающими достижение целей, показателей и результатов национального проекта (программы), в том числе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w:t>
            </w:r>
          </w:p>
          <w:p>
            <w:pPr>
              <w:pStyle w:val="0"/>
              <w:jc w:val="both"/>
            </w:pPr>
            <w:r>
              <w:rPr>
                <w:sz w:val="20"/>
              </w:rPr>
              <w:t xml:space="preserve">- проект направлен в полной мере на решение именно тех проблем, которые обозначены как значимые;</w:t>
            </w:r>
          </w:p>
          <w:p>
            <w:pPr>
              <w:pStyle w:val="0"/>
              <w:jc w:val="both"/>
            </w:pPr>
            <w:r>
              <w:rPr>
                <w:sz w:val="20"/>
              </w:rPr>
              <w:t xml:space="preserve">- имеется подтверждение актуальности проблемы представителями целевой аудитории, потенциальными благополучателями, партнерами;</w:t>
            </w:r>
          </w:p>
          <w:p>
            <w:pPr>
              <w:pStyle w:val="0"/>
              <w:jc w:val="both"/>
            </w:pPr>
            <w:r>
              <w:rPr>
                <w:sz w:val="20"/>
              </w:rPr>
              <w:t xml:space="preserve">- мероприятия проекта полностью соответствуют грантовым направлениям</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25%</w:t>
            </w:r>
          </w:p>
        </w:tc>
      </w:tr>
      <w:tr>
        <w:tc>
          <w:tcPr>
            <w:tcW w:w="624" w:type="dxa"/>
          </w:tcPr>
          <w:p>
            <w:pPr>
              <w:pStyle w:val="0"/>
            </w:pPr>
            <w:r>
              <w:rPr>
                <w:sz w:val="20"/>
              </w:rPr>
              <w:t xml:space="preserve">1.2</w:t>
            </w:r>
          </w:p>
        </w:tc>
        <w:tc>
          <w:tcPr>
            <w:tcW w:w="5750" w:type="dxa"/>
          </w:tcPr>
          <w:p>
            <w:pPr>
              <w:pStyle w:val="0"/>
              <w:jc w:val="both"/>
            </w:pPr>
            <w:r>
              <w:rPr>
                <w:sz w:val="20"/>
              </w:rPr>
              <w:t xml:space="preserve">Актуальность и социальная значимость проекта в целом доказаны, однако имеются несущественные замечания эксперта:</w:t>
            </w:r>
          </w:p>
          <w:p>
            <w:pPr>
              <w:pStyle w:val="0"/>
              <w:jc w:val="both"/>
            </w:pPr>
            <w:r>
              <w:rPr>
                <w:sz w:val="20"/>
              </w:rPr>
              <w:t xml:space="preserve">- проблемы, на решение которых направлен проект, относятся к разряду актуальных, но авторы преувеличили их значимость для выбранной территории реализации проекта и (или) целевой группы;</w:t>
            </w:r>
          </w:p>
          <w:p>
            <w:pPr>
              <w:pStyle w:val="0"/>
              <w:jc w:val="both"/>
            </w:pPr>
            <w:r>
              <w:rPr>
                <w:sz w:val="20"/>
              </w:rPr>
              <w:t xml:space="preserve">- проблемы, на решение которых направлен проект, описаны общими фразами, без ссылок на конкретные факты, либо этих фактов и показателей недостаточно для подтверждения актуальности проблемы для заявленной целевой группы и (или) территории реализации проекта;</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1.3</w:t>
            </w:r>
          </w:p>
        </w:tc>
        <w:tc>
          <w:tcPr>
            <w:tcW w:w="5750" w:type="dxa"/>
          </w:tcPr>
          <w:p>
            <w:pPr>
              <w:pStyle w:val="0"/>
              <w:jc w:val="both"/>
            </w:pPr>
            <w:r>
              <w:rPr>
                <w:sz w:val="20"/>
              </w:rPr>
              <w:t xml:space="preserve">Актуальность и социальная значимость проекта доказаны недостаточно убедительно:</w:t>
            </w:r>
          </w:p>
          <w:p>
            <w:pPr>
              <w:pStyle w:val="0"/>
              <w:jc w:val="both"/>
            </w:pPr>
            <w:r>
              <w:rPr>
                <w:sz w:val="20"/>
              </w:rPr>
              <w:t xml:space="preserve">- проблема не имеет острой значимости для целевой группы или территории реализации проекта;</w:t>
            </w:r>
          </w:p>
          <w:p>
            <w:pPr>
              <w:pStyle w:val="0"/>
              <w:jc w:val="both"/>
            </w:pPr>
            <w:r>
              <w:rPr>
                <w:sz w:val="20"/>
              </w:rPr>
              <w:t xml:space="preserve">- в проекте недостаточно аргументированно и без конкретных показателей описана проблема, на решение которой направлен проект, либо не подтверждено взаимодействие с территориями, обозначенными в заявке;</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1.4</w:t>
            </w:r>
          </w:p>
        </w:tc>
        <w:tc>
          <w:tcPr>
            <w:tcW w:w="5750" w:type="dxa"/>
          </w:tcPr>
          <w:p>
            <w:pPr>
              <w:pStyle w:val="0"/>
              <w:jc w:val="both"/>
            </w:pPr>
            <w:r>
              <w:rPr>
                <w:sz w:val="20"/>
              </w:rPr>
              <w:t xml:space="preserve">Актуальность и социальная значимость проекта не доказаны:</w:t>
            </w:r>
          </w:p>
          <w:p>
            <w:pPr>
              <w:pStyle w:val="0"/>
              <w:jc w:val="both"/>
            </w:pPr>
            <w:r>
              <w:rPr>
                <w:sz w:val="20"/>
              </w:rPr>
              <w:t xml:space="preserve">- проблема, которой посвящен проект, не относится к разряду востребованных обществом либо слабо обоснована авторами;</w:t>
            </w:r>
          </w:p>
          <w:p>
            <w:pPr>
              <w:pStyle w:val="0"/>
              <w:jc w:val="both"/>
            </w:pPr>
            <w:r>
              <w:rPr>
                <w:sz w:val="20"/>
              </w:rPr>
              <w:t xml:space="preserve">- большая часть мероприятий проекта не связана с выбранным грантовым направлением;</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2</w:t>
            </w:r>
          </w:p>
        </w:tc>
        <w:tc>
          <w:tcPr>
            <w:tcW w:w="5750" w:type="dxa"/>
          </w:tcPr>
          <w:p>
            <w:pPr>
              <w:pStyle w:val="0"/>
              <w:jc w:val="both"/>
            </w:pPr>
            <w:r>
              <w:rPr>
                <w:sz w:val="20"/>
              </w:rPr>
              <w:t xml:space="preserve">Логическая связность и реализуемость проекта, соответствие мероприятий проекта его целям, задачам и ожидаемым результатам</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2.1</w:t>
            </w:r>
          </w:p>
        </w:tc>
        <w:tc>
          <w:tcPr>
            <w:tcW w:w="5750" w:type="dxa"/>
          </w:tcPr>
          <w:p>
            <w:pPr>
              <w:pStyle w:val="0"/>
              <w:jc w:val="both"/>
            </w:pPr>
            <w:r>
              <w:rPr>
                <w:sz w:val="20"/>
              </w:rPr>
              <w:t xml:space="preserve">Проект полностью соответствует данному критерию:</w:t>
            </w:r>
          </w:p>
          <w:p>
            <w:pPr>
              <w:pStyle w:val="0"/>
              <w:jc w:val="both"/>
            </w:pPr>
            <w:r>
              <w:rPr>
                <w:sz w:val="20"/>
              </w:rPr>
              <w:t xml:space="preserve">- все разделы заявки логически взаимосвязаны, каждый раздел содержит информацию, необходимую и достаточную для полного понимания содержания проекта;</w:t>
            </w:r>
          </w:p>
          <w:p>
            <w:pPr>
              <w:pStyle w:val="0"/>
              <w:jc w:val="both"/>
            </w:pPr>
            <w:r>
              <w:rPr>
                <w:sz w:val="20"/>
              </w:rPr>
              <w:t xml:space="preserve">- календарный план хорошо структурирован, детализирован, содержит описание конкретных мероприятий;</w:t>
            </w:r>
          </w:p>
          <w:p>
            <w:pPr>
              <w:pStyle w:val="0"/>
              <w:jc w:val="both"/>
            </w:pPr>
            <w:r>
              <w:rPr>
                <w:sz w:val="20"/>
              </w:rPr>
              <w:t xml:space="preserve">- запланированные мероприятия соответствуют условиям конкурса и обеспечивают решение поставленных задач и достижение предполагаемых результатов проекта;</w:t>
            </w:r>
          </w:p>
          <w:p>
            <w:pPr>
              <w:pStyle w:val="0"/>
              <w:jc w:val="both"/>
            </w:pPr>
            <w:r>
              <w:rPr>
                <w:sz w:val="20"/>
              </w:rPr>
              <w:t xml:space="preserve">- указаны конкретные и разумные сроки, позволяющие в полной мере решить задачи проекта</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18%</w:t>
            </w:r>
          </w:p>
        </w:tc>
      </w:tr>
      <w:tr>
        <w:tc>
          <w:tcPr>
            <w:tcW w:w="624" w:type="dxa"/>
          </w:tcPr>
          <w:p>
            <w:pPr>
              <w:pStyle w:val="0"/>
            </w:pPr>
            <w:r>
              <w:rPr>
                <w:sz w:val="20"/>
              </w:rPr>
              <w:t xml:space="preserve">2.2</w:t>
            </w:r>
          </w:p>
        </w:tc>
        <w:tc>
          <w:tcPr>
            <w:tcW w:w="5750" w:type="dxa"/>
          </w:tcPr>
          <w:p>
            <w:pPr>
              <w:pStyle w:val="0"/>
              <w:jc w:val="both"/>
            </w:pPr>
            <w:r>
              <w:rPr>
                <w:sz w:val="20"/>
              </w:rPr>
              <w:t xml:space="preserve">По данному критерию проект в целом проработан, однако имеются несущественные замечания эксперта:</w:t>
            </w:r>
          </w:p>
          <w:p>
            <w:pPr>
              <w:pStyle w:val="0"/>
              <w:jc w:val="both"/>
            </w:pPr>
            <w:r>
              <w:rPr>
                <w:sz w:val="20"/>
              </w:rPr>
              <w:t xml:space="preserve">- все разделы заявки логически взаимосвязаны, однако имеются несущественные смысловые несоответствия, что нарушает внутреннюю целостность проекта;</w:t>
            </w:r>
          </w:p>
          <w:p>
            <w:pPr>
              <w:pStyle w:val="0"/>
              <w:jc w:val="both"/>
            </w:pPr>
            <w:r>
              <w:rPr>
                <w:sz w:val="20"/>
              </w:rPr>
              <w:t xml:space="preserve">- запланированные мероприятия соответствуют условиям конкурса и обеспечивают решение поставленных задач и достижение предполагаемых результатов проекта, вместе с тем состав мероприятий не является полностью оптимальным и (или) сроки выполнения отдельных мероприятий проекта требуют корректировки</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2.3</w:t>
            </w:r>
          </w:p>
        </w:tc>
        <w:tc>
          <w:tcPr>
            <w:tcW w:w="5750" w:type="dxa"/>
          </w:tcPr>
          <w:p>
            <w:pPr>
              <w:pStyle w:val="0"/>
              <w:jc w:val="both"/>
            </w:pPr>
            <w:r>
              <w:rPr>
                <w:sz w:val="20"/>
              </w:rPr>
              <w:t xml:space="preserve">Проект по данному критерию проработан недостаточно, имеются замечания эксперта, которые обязательно необходимо устранить:</w:t>
            </w:r>
          </w:p>
          <w:p>
            <w:pPr>
              <w:pStyle w:val="0"/>
              <w:jc w:val="both"/>
            </w:pPr>
            <w:r>
              <w:rPr>
                <w:sz w:val="20"/>
              </w:rPr>
              <w:t xml:space="preserve">- календарный план описывает лишь общие направления деятельности, не раскрывает последовательность реализации проекта, не позволяет определить содержание основных мероприятий;</w:t>
            </w:r>
          </w:p>
          <w:p>
            <w:pPr>
              <w:pStyle w:val="0"/>
              <w:jc w:val="both"/>
            </w:pPr>
            <w:r>
              <w:rPr>
                <w:sz w:val="20"/>
              </w:rPr>
              <w:t xml:space="preserve">- имеются устранимые нарушения логической связи между задачами, мероприятиями и предполагаемыми результатами;</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2.4</w:t>
            </w:r>
          </w:p>
        </w:tc>
        <w:tc>
          <w:tcPr>
            <w:tcW w:w="5750" w:type="dxa"/>
          </w:tcPr>
          <w:p>
            <w:pPr>
              <w:pStyle w:val="0"/>
              <w:jc w:val="both"/>
            </w:pPr>
            <w:r>
              <w:rPr>
                <w:sz w:val="20"/>
              </w:rPr>
              <w:t xml:space="preserve">Проект не соответствует данному критерию:</w:t>
            </w:r>
          </w:p>
          <w:p>
            <w:pPr>
              <w:pStyle w:val="0"/>
              <w:jc w:val="both"/>
            </w:pPr>
            <w:r>
              <w:rPr>
                <w:sz w:val="20"/>
              </w:rPr>
              <w:t xml:space="preserve">- проект проработан на низком уровне, имеются несоответствия мероприятий проекта его целям и задачам, противоречия между планируемой деятельностью и ожидаемыми результатами;</w:t>
            </w:r>
          </w:p>
          <w:p>
            <w:pPr>
              <w:pStyle w:val="0"/>
              <w:jc w:val="both"/>
            </w:pPr>
            <w:r>
              <w:rPr>
                <w:sz w:val="20"/>
              </w:rPr>
              <w:t xml:space="preserve">- существенные ошибки в постановке целей, задач, описании мероприятий, результатов проекта делают реализацию такого проекта нецелесообразной;</w:t>
            </w:r>
          </w:p>
          <w:p>
            <w:pPr>
              <w:pStyle w:val="0"/>
              <w:jc w:val="both"/>
            </w:pPr>
            <w:r>
              <w:rPr>
                <w:sz w:val="20"/>
              </w:rPr>
              <w:t xml:space="preserve">- сроки выполнения мероприятий некорректны и не соответствуют заявленным целям и задачам проекта, из-за непродуманности создают значительные риски реализации проекта;</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3</w:t>
            </w:r>
          </w:p>
        </w:tc>
        <w:tc>
          <w:tcPr>
            <w:tcW w:w="5750" w:type="dxa"/>
          </w:tcPr>
          <w:p>
            <w:pPr>
              <w:pStyle w:val="0"/>
              <w:jc w:val="both"/>
            </w:pPr>
            <w:r>
              <w:rPr>
                <w:sz w:val="20"/>
              </w:rPr>
              <w:t xml:space="preserve">Инновационность, уникальность проекта</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3.1</w:t>
            </w:r>
          </w:p>
        </w:tc>
        <w:tc>
          <w:tcPr>
            <w:tcW w:w="5750" w:type="dxa"/>
          </w:tcPr>
          <w:p>
            <w:pPr>
              <w:pStyle w:val="0"/>
              <w:jc w:val="both"/>
            </w:pPr>
            <w:r>
              <w:rPr>
                <w:sz w:val="20"/>
              </w:rPr>
              <w:t xml:space="preserve">Проект является инновационным, уникальным:</w:t>
            </w:r>
          </w:p>
          <w:p>
            <w:pPr>
              <w:pStyle w:val="0"/>
              <w:jc w:val="both"/>
            </w:pPr>
            <w:r>
              <w:rPr>
                <w:sz w:val="20"/>
              </w:rPr>
              <w:t xml:space="preserve">- проект преимущественно направлен на внедрение новых или значительно улучшенных практик, методов в деятельность организации и (или) ее партнеров, что позволит существенно качественно улучшить такую деятельность</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12%</w:t>
            </w:r>
          </w:p>
        </w:tc>
      </w:tr>
      <w:tr>
        <w:tc>
          <w:tcPr>
            <w:tcW w:w="624" w:type="dxa"/>
          </w:tcPr>
          <w:p>
            <w:pPr>
              <w:pStyle w:val="0"/>
            </w:pPr>
            <w:r>
              <w:rPr>
                <w:sz w:val="20"/>
              </w:rPr>
              <w:t xml:space="preserve">3.2</w:t>
            </w:r>
          </w:p>
        </w:tc>
        <w:tc>
          <w:tcPr>
            <w:tcW w:w="5750" w:type="dxa"/>
          </w:tcPr>
          <w:p>
            <w:pPr>
              <w:pStyle w:val="0"/>
              <w:jc w:val="both"/>
            </w:pPr>
            <w:r>
              <w:rPr>
                <w:sz w:val="20"/>
              </w:rPr>
              <w:t xml:space="preserve">Проект имеет признаки инновационности, уникальности, но эти признаки несущественно влияют на его ожидаемые результаты:</w:t>
            </w:r>
          </w:p>
          <w:p>
            <w:pPr>
              <w:pStyle w:val="0"/>
              <w:jc w:val="both"/>
            </w:pPr>
            <w:r>
              <w:rPr>
                <w:sz w:val="20"/>
              </w:rPr>
              <w:t xml:space="preserve">- проект предусматривает внедрение новых или значительно улучшенных процессов, методов, практик, но в заявке четко не описано, как это приведет к изменению содержания и результативности деятельности, которую осуществляет организация и (или) ее партнеры (например, отсутствует описание конкретных результатов внедрения инноваций);</w:t>
            </w:r>
          </w:p>
          <w:p>
            <w:pPr>
              <w:pStyle w:val="0"/>
              <w:jc w:val="both"/>
            </w:pPr>
            <w:r>
              <w:rPr>
                <w:sz w:val="20"/>
              </w:rPr>
              <w:t xml:space="preserve">- у организации есть ресурсы и опыт, чтобы успешно внедрить описанные инновации;</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3.3</w:t>
            </w:r>
          </w:p>
        </w:tc>
        <w:tc>
          <w:tcPr>
            <w:tcW w:w="5750" w:type="dxa"/>
          </w:tcPr>
          <w:p>
            <w:pPr>
              <w:pStyle w:val="0"/>
              <w:jc w:val="both"/>
            </w:pPr>
            <w:r>
              <w:rPr>
                <w:sz w:val="20"/>
              </w:rPr>
              <w:t xml:space="preserve">Проект практически не имеет признаков инновационности, уникальности:</w:t>
            </w:r>
          </w:p>
          <w:p>
            <w:pPr>
              <w:pStyle w:val="0"/>
              <w:jc w:val="both"/>
            </w:pPr>
            <w:r>
              <w:rPr>
                <w:sz w:val="20"/>
              </w:rPr>
              <w:t xml:space="preserve">- в заявке упоминается использование новых или значительно улучшенных процессов, методов, практик, вместе с тем состав мероприятий проекта в явном виде не позволяет сделать вывод о том, что проект является уникальным по сравнению с деятельностью других организаций по соответствующей тематике;</w:t>
            </w:r>
          </w:p>
          <w:p>
            <w:pPr>
              <w:pStyle w:val="0"/>
              <w:jc w:val="both"/>
            </w:pPr>
            <w:r>
              <w:rPr>
                <w:sz w:val="20"/>
              </w:rPr>
              <w:t xml:space="preserve">- практики и методики, указанные в заявке, не являются инновационными;</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3.4</w:t>
            </w:r>
          </w:p>
        </w:tc>
        <w:tc>
          <w:tcPr>
            <w:tcW w:w="5750" w:type="dxa"/>
          </w:tcPr>
          <w:p>
            <w:pPr>
              <w:pStyle w:val="0"/>
              <w:jc w:val="both"/>
            </w:pPr>
            <w:r>
              <w:rPr>
                <w:sz w:val="20"/>
              </w:rPr>
              <w:t xml:space="preserve">Проект не является инновационным, уникальным:</w:t>
            </w:r>
          </w:p>
          <w:p>
            <w:pPr>
              <w:pStyle w:val="0"/>
              <w:jc w:val="both"/>
            </w:pPr>
            <w:r>
              <w:rPr>
                <w:sz w:val="20"/>
              </w:rPr>
              <w:t xml:space="preserve">- проект, по сути, является продолжением уже осуществляемой (ранее осуществлявшейся) деятельности организации;</w:t>
            </w:r>
          </w:p>
          <w:p>
            <w:pPr>
              <w:pStyle w:val="0"/>
              <w:jc w:val="both"/>
            </w:pPr>
            <w:r>
              <w:rPr>
                <w:sz w:val="20"/>
              </w:rPr>
              <w:t xml:space="preserve">- практики и методики, указанные в заявке, не рекомендуются к применению (на наличие данного обстоятельства необходимо указать в комментарии к оценке с соответствующим обоснованием)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4</w:t>
            </w:r>
          </w:p>
        </w:tc>
        <w:tc>
          <w:tcPr>
            <w:tcW w:w="5750" w:type="dxa"/>
          </w:tcPr>
          <w:p>
            <w:pPr>
              <w:pStyle w:val="0"/>
              <w:jc w:val="both"/>
            </w:pPr>
            <w:r>
              <w:rPr>
                <w:sz w:val="20"/>
              </w:rPr>
              <w:t xml:space="preserve">Соотношение планируемых расходов на реализацию проекта и его ожидаемых результатов, адекватность, измеримость и достижимость таких результатов</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4.1</w:t>
            </w:r>
          </w:p>
        </w:tc>
        <w:tc>
          <w:tcPr>
            <w:tcW w:w="5750" w:type="dxa"/>
          </w:tcPr>
          <w:p>
            <w:pPr>
              <w:pStyle w:val="0"/>
              <w:jc w:val="both"/>
            </w:pPr>
            <w:r>
              <w:rPr>
                <w:sz w:val="20"/>
              </w:rPr>
              <w:t xml:space="preserve">Данный критерий отлично выражен в заявке:</w:t>
            </w:r>
          </w:p>
          <w:p>
            <w:pPr>
              <w:pStyle w:val="0"/>
              <w:jc w:val="both"/>
            </w:pPr>
            <w:r>
              <w:rPr>
                <w:sz w:val="20"/>
              </w:rPr>
              <w:t xml:space="preserve">- в заявке четко изложены ожидаемые результаты проекта, они адекватны, конкретны и измеримы; их получение за общую сумму предполагаемых расходов на реализацию проекта соразмерно и обоснованно</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10%</w:t>
            </w:r>
          </w:p>
        </w:tc>
      </w:tr>
      <w:tr>
        <w:tc>
          <w:tcPr>
            <w:tcW w:w="624" w:type="dxa"/>
          </w:tcPr>
          <w:p>
            <w:pPr>
              <w:pStyle w:val="0"/>
            </w:pPr>
            <w:r>
              <w:rPr>
                <w:sz w:val="20"/>
              </w:rPr>
              <w:t xml:space="preserve">4.2</w:t>
            </w:r>
          </w:p>
        </w:tc>
        <w:tc>
          <w:tcPr>
            <w:tcW w:w="5750" w:type="dxa"/>
          </w:tcPr>
          <w:p>
            <w:pPr>
              <w:pStyle w:val="0"/>
              <w:jc w:val="both"/>
            </w:pPr>
            <w:r>
              <w:rPr>
                <w:sz w:val="20"/>
              </w:rPr>
              <w:t xml:space="preserve">Данный критерий хорошо выражен в заявке:</w:t>
            </w:r>
          </w:p>
          <w:p>
            <w:pPr>
              <w:pStyle w:val="0"/>
              <w:jc w:val="both"/>
            </w:pPr>
            <w:r>
              <w:rPr>
                <w:sz w:val="20"/>
              </w:rPr>
              <w:t xml:space="preserve">- в заявке четко изложены ожидаемые результаты проекта, их получение за общую сумму предполагаемых расходов на реализацию обоснованно, вместе с тем содержание запланированной деятельности по достижению указанных результатов (состав мероприятий) не является полностью оптимальным;</w:t>
            </w:r>
          </w:p>
          <w:p>
            <w:pPr>
              <w:pStyle w:val="0"/>
              <w:jc w:val="both"/>
            </w:pPr>
            <w:r>
              <w:rPr>
                <w:sz w:val="20"/>
              </w:rPr>
              <w:t xml:space="preserve">- по описанию запланированных результатов у эксперта имеются несущественные замечания в части их адекватности, измеримости и достижимости (замечания необходимо указать в комментарии к оценке)</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4.3</w:t>
            </w:r>
          </w:p>
        </w:tc>
        <w:tc>
          <w:tcPr>
            <w:tcW w:w="5750" w:type="dxa"/>
          </w:tcPr>
          <w:p>
            <w:pPr>
              <w:pStyle w:val="0"/>
              <w:jc w:val="both"/>
            </w:pPr>
            <w:r>
              <w:rPr>
                <w:sz w:val="20"/>
              </w:rPr>
              <w:t xml:space="preserve">Данный критерий удовлетворительно выражен в заявке:</w:t>
            </w:r>
          </w:p>
          <w:p>
            <w:pPr>
              <w:pStyle w:val="0"/>
              <w:jc w:val="both"/>
            </w:pPr>
            <w:r>
              <w:rPr>
                <w:sz w:val="20"/>
              </w:rPr>
              <w:t xml:space="preserve">- в заявке изложены ожидаемые результаты проекта, но они не полностью соответствуют критериям адекватности, измеримости, достижимости;</w:t>
            </w:r>
          </w:p>
          <w:p>
            <w:pPr>
              <w:pStyle w:val="0"/>
              <w:jc w:val="both"/>
            </w:pPr>
            <w:r>
              <w:rPr>
                <w:sz w:val="20"/>
              </w:rPr>
              <w:t xml:space="preserve">- запланированные результаты могут быть достигнуты при меньших затратах;</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4.4</w:t>
            </w:r>
          </w:p>
        </w:tc>
        <w:tc>
          <w:tcPr>
            <w:tcW w:w="5750" w:type="dxa"/>
          </w:tcPr>
          <w:p>
            <w:pPr>
              <w:pStyle w:val="0"/>
              <w:jc w:val="both"/>
            </w:pPr>
            <w:r>
              <w:rPr>
                <w:sz w:val="20"/>
              </w:rPr>
              <w:t xml:space="preserve">Данный критерий плохо выражен в заявке:</w:t>
            </w:r>
          </w:p>
          <w:p>
            <w:pPr>
              <w:pStyle w:val="0"/>
              <w:jc w:val="both"/>
            </w:pPr>
            <w:r>
              <w:rPr>
                <w:sz w:val="20"/>
              </w:rPr>
              <w:t xml:space="preserve">- ожидаемые результаты проекта изложены неконкретно;</w:t>
            </w:r>
          </w:p>
          <w:p>
            <w:pPr>
              <w:pStyle w:val="0"/>
              <w:jc w:val="both"/>
            </w:pPr>
            <w:r>
              <w:rPr>
                <w:sz w:val="20"/>
              </w:rPr>
              <w:t xml:space="preserve">- предполагаемые затраты на достижение результатов проекта явно завышены;</w:t>
            </w:r>
          </w:p>
          <w:p>
            <w:pPr>
              <w:pStyle w:val="0"/>
              <w:jc w:val="both"/>
            </w:pPr>
            <w:r>
              <w:rPr>
                <w:sz w:val="20"/>
              </w:rPr>
              <w:t xml:space="preserve">- описанная в заявке деятельность является по сути предпринимательской;</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5</w:t>
            </w:r>
          </w:p>
        </w:tc>
        <w:tc>
          <w:tcPr>
            <w:tcW w:w="5750" w:type="dxa"/>
          </w:tcPr>
          <w:p>
            <w:pPr>
              <w:pStyle w:val="0"/>
              <w:jc w:val="both"/>
            </w:pPr>
            <w:r>
              <w:rPr>
                <w:sz w:val="20"/>
              </w:rPr>
              <w:t xml:space="preserve">Реалистичность бюджета проекта и обоснованность планируемых расходов на реализацию проекта</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5.1</w:t>
            </w:r>
          </w:p>
        </w:tc>
        <w:tc>
          <w:tcPr>
            <w:tcW w:w="5750" w:type="dxa"/>
          </w:tcPr>
          <w:p>
            <w:pPr>
              <w:pStyle w:val="0"/>
              <w:jc w:val="both"/>
            </w:pPr>
            <w:r>
              <w:rPr>
                <w:sz w:val="20"/>
              </w:rPr>
              <w:t xml:space="preserve">Проект полностью соответствует данному критерию:</w:t>
            </w:r>
          </w:p>
          <w:p>
            <w:pPr>
              <w:pStyle w:val="0"/>
              <w:jc w:val="both"/>
            </w:pPr>
            <w:r>
              <w:rPr>
                <w:sz w:val="20"/>
              </w:rPr>
              <w:t xml:space="preserve">- в бюджете проекта предусмотрено финансовое обеспечение всех мероприятий проекта и отсутствуют расходы, которые непосредственно не связаны с мероприятиями проекта;</w:t>
            </w:r>
          </w:p>
          <w:p>
            <w:pPr>
              <w:pStyle w:val="0"/>
              <w:jc w:val="both"/>
            </w:pPr>
            <w:r>
              <w:rPr>
                <w:sz w:val="20"/>
              </w:rPr>
              <w:t xml:space="preserve">- все планируемые расходы реалистичны и обоснованы;</w:t>
            </w:r>
          </w:p>
          <w:p>
            <w:pPr>
              <w:pStyle w:val="0"/>
              <w:jc w:val="both"/>
            </w:pPr>
            <w:r>
              <w:rPr>
                <w:sz w:val="20"/>
              </w:rPr>
              <w:t xml:space="preserve">- даны корректные комментарии по всем предполагаемым расходам за счет грантов, позволяющие четко определить состав (детализацию) расходов;</w:t>
            </w:r>
          </w:p>
          <w:p>
            <w:pPr>
              <w:pStyle w:val="0"/>
              <w:jc w:val="both"/>
            </w:pPr>
            <w:r>
              <w:rPr>
                <w:sz w:val="20"/>
              </w:rPr>
              <w:t xml:space="preserve">- в проекте предусмотрено активное использование имеющихся у организации ресурсов</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8%</w:t>
            </w:r>
          </w:p>
        </w:tc>
      </w:tr>
      <w:tr>
        <w:tc>
          <w:tcPr>
            <w:tcW w:w="624" w:type="dxa"/>
          </w:tcPr>
          <w:p>
            <w:pPr>
              <w:pStyle w:val="0"/>
            </w:pPr>
            <w:r>
              <w:rPr>
                <w:sz w:val="20"/>
              </w:rPr>
              <w:t xml:space="preserve">5.2</w:t>
            </w:r>
          </w:p>
        </w:tc>
        <w:tc>
          <w:tcPr>
            <w:tcW w:w="5750" w:type="dxa"/>
          </w:tcPr>
          <w:p>
            <w:pPr>
              <w:pStyle w:val="0"/>
              <w:jc w:val="both"/>
            </w:pPr>
            <w:r>
              <w:rPr>
                <w:sz w:val="20"/>
              </w:rPr>
              <w:t xml:space="preserve">Проект в целом соответствует данному критерию, однако имеются несущественные замечания эксперта:</w:t>
            </w:r>
          </w:p>
          <w:p>
            <w:pPr>
              <w:pStyle w:val="0"/>
              <w:jc w:val="both"/>
            </w:pPr>
            <w:r>
              <w:rPr>
                <w:sz w:val="20"/>
              </w:rPr>
              <w:t xml:space="preserve">- все планируемые расходы реалистичны, следуют из задач, мероприятий и обоснованы, вместе с тем из комментариев к некоторым расходам невозможно точно определить их состав (детализацию);</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5.3</w:t>
            </w:r>
          </w:p>
        </w:tc>
        <w:tc>
          <w:tcPr>
            <w:tcW w:w="5750" w:type="dxa"/>
          </w:tcPr>
          <w:p>
            <w:pPr>
              <w:pStyle w:val="0"/>
              <w:jc w:val="both"/>
            </w:pPr>
            <w:r>
              <w:rPr>
                <w:sz w:val="20"/>
              </w:rPr>
              <w:t xml:space="preserve">Проект в целом соответствует данному критерию, однако имеются замечания эксперта, которые обязательно необходимо устранить:</w:t>
            </w:r>
          </w:p>
          <w:p>
            <w:pPr>
              <w:pStyle w:val="0"/>
              <w:jc w:val="both"/>
            </w:pPr>
            <w:r>
              <w:rPr>
                <w:sz w:val="20"/>
              </w:rPr>
              <w:t xml:space="preserve">- не все предполагаемые расходы непосредственно связаны с мероприятиями проекта и достижением ожидаемых результатов;</w:t>
            </w:r>
          </w:p>
          <w:p>
            <w:pPr>
              <w:pStyle w:val="0"/>
              <w:jc w:val="both"/>
            </w:pPr>
            <w:r>
              <w:rPr>
                <w:sz w:val="20"/>
              </w:rPr>
              <w:t xml:space="preserve">- в бюджете проекта предусмотрены побочные, не имеющие прямого отношения к реализации проекта расходы;</w:t>
            </w:r>
          </w:p>
          <w:p>
            <w:pPr>
              <w:pStyle w:val="0"/>
              <w:jc w:val="both"/>
            </w:pPr>
            <w:r>
              <w:rPr>
                <w:sz w:val="20"/>
              </w:rPr>
              <w:t xml:space="preserve">- некоторые расходы завышены или занижены по сравнению со средним рыночным уровнем оплаты труда, цен на товары, работы, услуги, аренду (без соответствующего обоснования в комментариях к расходам);</w:t>
            </w:r>
          </w:p>
          <w:p>
            <w:pPr>
              <w:pStyle w:val="0"/>
              <w:jc w:val="both"/>
            </w:pPr>
            <w:r>
              <w:rPr>
                <w:sz w:val="20"/>
              </w:rPr>
              <w:t xml:space="preserve">- обоснование некоторых запланированных расходов не позволяет оценить их взаимосвязь с мероприятиями проекта;</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5.4</w:t>
            </w:r>
          </w:p>
        </w:tc>
        <w:tc>
          <w:tcPr>
            <w:tcW w:w="5750" w:type="dxa"/>
          </w:tcPr>
          <w:p>
            <w:pPr>
              <w:pStyle w:val="0"/>
              <w:jc w:val="both"/>
            </w:pPr>
            <w:r>
              <w:rPr>
                <w:sz w:val="20"/>
              </w:rPr>
              <w:t xml:space="preserve">Проект не соответствует данному критерию:</w:t>
            </w:r>
          </w:p>
          <w:p>
            <w:pPr>
              <w:pStyle w:val="0"/>
              <w:jc w:val="both"/>
            </w:pPr>
            <w:r>
              <w:rPr>
                <w:sz w:val="20"/>
              </w:rPr>
              <w:t xml:space="preserve">- предполагаемые затраты на реализацию проекта явно завышены либо занижены и (или) не соответствуют мероприятиям проекта, условиям конкурса;</w:t>
            </w:r>
          </w:p>
          <w:p>
            <w:pPr>
              <w:pStyle w:val="0"/>
              <w:jc w:val="both"/>
            </w:pPr>
            <w:r>
              <w:rPr>
                <w:sz w:val="20"/>
              </w:rPr>
              <w:t xml:space="preserve">- в бюджете проекта предусмотрено осуществление за счет грантов расходов, которые не допускаются в соответствии с требованиями положения о конкурсе;</w:t>
            </w:r>
          </w:p>
          <w:p>
            <w:pPr>
              <w:pStyle w:val="0"/>
              <w:jc w:val="both"/>
            </w:pPr>
            <w:r>
              <w:rPr>
                <w:sz w:val="20"/>
              </w:rPr>
              <w:t xml:space="preserve">- бюджет проекта нереалистичен, не соответствует тексту заявки;</w:t>
            </w:r>
          </w:p>
          <w:p>
            <w:pPr>
              <w:pStyle w:val="0"/>
              <w:jc w:val="both"/>
            </w:pPr>
            <w:r>
              <w:rPr>
                <w:sz w:val="20"/>
              </w:rPr>
              <w:t xml:space="preserve">- бюджет проекта не соответствует целевому характеру грантов, часть расходов не направлена на выполнение мероприятий проекта либо вообще не имеет отношения к реализации проекта;</w:t>
            </w:r>
          </w:p>
          <w:p>
            <w:pPr>
              <w:pStyle w:val="0"/>
              <w:jc w:val="both"/>
            </w:pPr>
            <w:r>
              <w:rPr>
                <w:sz w:val="20"/>
              </w:rPr>
              <w:t xml:space="preserve">- имеются несоответствия между суммами в описании проекта и в его бюджете;</w:t>
            </w:r>
          </w:p>
          <w:p>
            <w:pPr>
              <w:pStyle w:val="0"/>
              <w:jc w:val="both"/>
            </w:pPr>
            <w:r>
              <w:rPr>
                <w:sz w:val="20"/>
              </w:rPr>
              <w:t xml:space="preserve">- комментарии к запланированным расходам неполные, некорректные, нелогичные;</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6</w:t>
            </w:r>
          </w:p>
        </w:tc>
        <w:tc>
          <w:tcPr>
            <w:tcW w:w="5750" w:type="dxa"/>
          </w:tcPr>
          <w:p>
            <w:pPr>
              <w:pStyle w:val="0"/>
              <w:jc w:val="both"/>
            </w:pPr>
            <w:r>
              <w:rPr>
                <w:sz w:val="20"/>
              </w:rPr>
              <w:t xml:space="preserve">Масштаб реализации проекта</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6.1</w:t>
            </w:r>
          </w:p>
        </w:tc>
        <w:tc>
          <w:tcPr>
            <w:tcW w:w="5750" w:type="dxa"/>
          </w:tcPr>
          <w:p>
            <w:pPr>
              <w:pStyle w:val="0"/>
              <w:jc w:val="both"/>
            </w:pPr>
            <w:r>
              <w:rPr>
                <w:sz w:val="20"/>
              </w:rPr>
              <w:t xml:space="preserve">Проект по данному критерию проработан отлично:</w:t>
            </w:r>
          </w:p>
          <w:p>
            <w:pPr>
              <w:pStyle w:val="0"/>
              <w:jc w:val="both"/>
            </w:pPr>
            <w:r>
              <w:rPr>
                <w:sz w:val="20"/>
              </w:rPr>
              <w:t xml:space="preserve">- заявленный территориальный охват проекта оправдан, использует реальные возможности организации и адекватен тем проблемам, на решение которых направлен проект;</w:t>
            </w:r>
          </w:p>
          <w:p>
            <w:pPr>
              <w:pStyle w:val="0"/>
              <w:jc w:val="both"/>
            </w:pPr>
            <w:r>
              <w:rPr>
                <w:sz w:val="20"/>
              </w:rPr>
              <w:t xml:space="preserve">- в проекте предусмотрена деятельность в пределах территории его реализации, самостоятельно или с активным вовлечением партнеров</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6%</w:t>
            </w:r>
          </w:p>
        </w:tc>
      </w:tr>
      <w:tr>
        <w:tc>
          <w:tcPr>
            <w:tcW w:w="624" w:type="dxa"/>
          </w:tcPr>
          <w:p>
            <w:pPr>
              <w:pStyle w:val="0"/>
            </w:pPr>
            <w:r>
              <w:rPr>
                <w:sz w:val="20"/>
              </w:rPr>
              <w:t xml:space="preserve">6.2</w:t>
            </w:r>
          </w:p>
        </w:tc>
        <w:tc>
          <w:tcPr>
            <w:tcW w:w="5750" w:type="dxa"/>
          </w:tcPr>
          <w:p>
            <w:pPr>
              <w:pStyle w:val="0"/>
              <w:jc w:val="both"/>
            </w:pPr>
            <w:r>
              <w:rPr>
                <w:sz w:val="20"/>
              </w:rPr>
              <w:t xml:space="preserve">Проект по данному критерию проработан хорошо:</w:t>
            </w:r>
          </w:p>
          <w:p>
            <w:pPr>
              <w:pStyle w:val="0"/>
              <w:jc w:val="both"/>
            </w:pPr>
            <w:r>
              <w:rPr>
                <w:sz w:val="20"/>
              </w:rPr>
              <w:t xml:space="preserve">- в проекте предусмотрена деятельность в пределах территории его реализации за счет вовлечения партнеров, но наличие устойчивых связей со всеми такими партнерами в заявке не подтверждено;</w:t>
            </w:r>
          </w:p>
          <w:p>
            <w:pPr>
              <w:pStyle w:val="0"/>
              <w:jc w:val="both"/>
            </w:pPr>
            <w:r>
              <w:rPr>
                <w:sz w:val="20"/>
              </w:rPr>
              <w:t xml:space="preserve">- имеется частичное (несущественное) расхождение между заявленной территорией реализации проекта и календарным планом, обеспечение такого территориального охвата может вызвать затруднения в сроки, установленные календарным планом;</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6.3</w:t>
            </w:r>
          </w:p>
        </w:tc>
        <w:tc>
          <w:tcPr>
            <w:tcW w:w="5750" w:type="dxa"/>
          </w:tcPr>
          <w:p>
            <w:pPr>
              <w:pStyle w:val="0"/>
              <w:jc w:val="both"/>
            </w:pPr>
            <w:r>
              <w:rPr>
                <w:sz w:val="20"/>
              </w:rPr>
              <w:t xml:space="preserve">Проект по данному критерию проработан удовлетворительно:</w:t>
            </w:r>
          </w:p>
          <w:p>
            <w:pPr>
              <w:pStyle w:val="0"/>
              <w:jc w:val="both"/>
            </w:pPr>
            <w:r>
              <w:rPr>
                <w:sz w:val="20"/>
              </w:rPr>
              <w:t xml:space="preserve">- возможность реализации проекта на заявленной территории не обеспечена в полном объеме бюджетом проекта, при этом информация об иных источниках в заявке отсутствует;</w:t>
            </w:r>
          </w:p>
          <w:p>
            <w:pPr>
              <w:pStyle w:val="0"/>
              <w:jc w:val="both"/>
            </w:pPr>
            <w:r>
              <w:rPr>
                <w:sz w:val="20"/>
              </w:rPr>
              <w:t xml:space="preserve">- в качестве территории реализации проекта заявлена потенциальная аудитория интернет-ресурса, который планируется создать или развивать в рамках реализации проекта;</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6.4</w:t>
            </w:r>
          </w:p>
        </w:tc>
        <w:tc>
          <w:tcPr>
            <w:tcW w:w="5750" w:type="dxa"/>
          </w:tcPr>
          <w:p>
            <w:pPr>
              <w:pStyle w:val="0"/>
              <w:jc w:val="both"/>
            </w:pPr>
            <w:r>
              <w:rPr>
                <w:sz w:val="20"/>
              </w:rPr>
              <w:t xml:space="preserve">Проект по данному критерию проработан плохо:</w:t>
            </w:r>
          </w:p>
          <w:p>
            <w:pPr>
              <w:pStyle w:val="0"/>
              <w:jc w:val="both"/>
            </w:pPr>
            <w:r>
              <w:rPr>
                <w:sz w:val="20"/>
              </w:rPr>
              <w:t xml:space="preserve">- заявленная территория реализации проекта не подтверждается содержанием заявки;</w:t>
            </w:r>
          </w:p>
          <w:p>
            <w:pPr>
              <w:pStyle w:val="0"/>
              <w:jc w:val="both"/>
            </w:pPr>
            <w:r>
              <w:rPr>
                <w:sz w:val="20"/>
              </w:rPr>
              <w:t xml:space="preserve">- не доказано взаимодействие с территориями, обозначенными в заявке;</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7</w:t>
            </w:r>
          </w:p>
        </w:tc>
        <w:tc>
          <w:tcPr>
            <w:tcW w:w="5750" w:type="dxa"/>
          </w:tcPr>
          <w:p>
            <w:pPr>
              <w:pStyle w:val="0"/>
              <w:jc w:val="both"/>
            </w:pPr>
            <w:r>
              <w:rPr>
                <w:sz w:val="20"/>
              </w:rPr>
              <w:t xml:space="preserve">Собственный вклад организации и дополнительные ресурсы, привлекаемые на реализацию проекта, перспективы его дальнейшего развития</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7.1</w:t>
            </w:r>
          </w:p>
        </w:tc>
        <w:tc>
          <w:tcPr>
            <w:tcW w:w="5750" w:type="dxa"/>
          </w:tcPr>
          <w:p>
            <w:pPr>
              <w:pStyle w:val="0"/>
              <w:jc w:val="both"/>
            </w:pPr>
            <w:r>
              <w:rPr>
                <w:sz w:val="20"/>
              </w:rPr>
              <w:t xml:space="preserve">Организация обеспечивает реальное привлечение дополнительных ресурсов на реализацию проекта в объеме более 15% бюджета проекта:</w:t>
            </w:r>
          </w:p>
          <w:p>
            <w:pPr>
              <w:pStyle w:val="0"/>
              <w:jc w:val="both"/>
            </w:pPr>
            <w:r>
              <w:rPr>
                <w:sz w:val="20"/>
              </w:rPr>
              <w:t xml:space="preserve">- организация располагает ресурсами на реализацию проекта (добровольцами, помещением в собственности, безвозмездном пользовании или аренде, оборудованием, транспортными средствами, интеллектуальными правами и другими) и (или) подтверждает реалистичность их привлечения;</w:t>
            </w:r>
          </w:p>
          <w:p>
            <w:pPr>
              <w:pStyle w:val="0"/>
              <w:jc w:val="both"/>
            </w:pPr>
            <w:r>
              <w:rPr>
                <w:sz w:val="20"/>
              </w:rPr>
              <w:t xml:space="preserve">- уровень собственного вклада и дополнительных ресурсов превышает 50% бюджета проекта (не суммы грантов, а именно всего бюджета проекта), при этом такой уровень корректно рассчитан (например, стоимость пользования имеющимся в собственности помещением и оборудованием рассчитана в части, необходимой для реализации проекта, и за срок реализации проекта);</w:t>
            </w:r>
          </w:p>
          <w:p>
            <w:pPr>
              <w:pStyle w:val="0"/>
              <w:jc w:val="both"/>
            </w:pPr>
            <w:r>
              <w:rPr>
                <w:sz w:val="20"/>
              </w:rPr>
              <w:t xml:space="preserve">- доказано долгосрочное и соответствующее масштабу и задачам проекта влияние его успешной реализации на проблемы, на решение которых он направлен;</w:t>
            </w:r>
          </w:p>
          <w:p>
            <w:pPr>
              <w:pStyle w:val="0"/>
              <w:jc w:val="both"/>
            </w:pPr>
            <w:r>
              <w:rPr>
                <w:sz w:val="20"/>
              </w:rPr>
              <w:t xml:space="preserve">- организацией представлено четкое видение дальнейшего развития деятельности по проекту и использования его результатов после завершения грантовой поддержки</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6%</w:t>
            </w:r>
          </w:p>
        </w:tc>
      </w:tr>
      <w:tr>
        <w:tc>
          <w:tcPr>
            <w:tcW w:w="624" w:type="dxa"/>
          </w:tcPr>
          <w:p>
            <w:pPr>
              <w:pStyle w:val="0"/>
            </w:pPr>
            <w:r>
              <w:rPr>
                <w:sz w:val="20"/>
              </w:rPr>
              <w:t xml:space="preserve">7.2</w:t>
            </w:r>
          </w:p>
        </w:tc>
        <w:tc>
          <w:tcPr>
            <w:tcW w:w="5750" w:type="dxa"/>
          </w:tcPr>
          <w:p>
            <w:pPr>
              <w:pStyle w:val="0"/>
              <w:jc w:val="both"/>
            </w:pPr>
            <w:r>
              <w:rPr>
                <w:sz w:val="20"/>
              </w:rPr>
              <w:t xml:space="preserve">Организация обеспечивает реальное привлечение дополнительных ресурсов на реализацию проекта в объеме от 10 до 15% бюджета проекта:</w:t>
            </w:r>
          </w:p>
          <w:p>
            <w:pPr>
              <w:pStyle w:val="0"/>
              <w:jc w:val="both"/>
            </w:pPr>
            <w:r>
              <w:rPr>
                <w:sz w:val="20"/>
              </w:rPr>
              <w:t xml:space="preserve">- организация располагает ресурсами на реализацию проекта (добровольцами, помещением в собственности, безвозмездном пользовании или аренде, оборудованием, транспортными средствами, интеллектуальными правами и другими) и (или) подтверждает реалистичность их привлечения;</w:t>
            </w:r>
          </w:p>
          <w:p>
            <w:pPr>
              <w:pStyle w:val="0"/>
              <w:jc w:val="both"/>
            </w:pPr>
            <w:r>
              <w:rPr>
                <w:sz w:val="20"/>
              </w:rPr>
              <w:t xml:space="preserve">- уровень собственного вклада и дополнительных ресурсов составляет от 25 до 50% бюджета проекта, при этом он в целом корректно рассчитан;</w:t>
            </w:r>
          </w:p>
          <w:p>
            <w:pPr>
              <w:pStyle w:val="0"/>
              <w:jc w:val="both"/>
            </w:pPr>
            <w:r>
              <w:rPr>
                <w:sz w:val="20"/>
              </w:rPr>
              <w:t xml:space="preserve">- в заявке в целом описаны механизмы дальнейшего развития проекта, источники ресурсного обеспечения после завершения грантовой поддержки, но отсутствуют достаточные сведения, позволяющие сделать обоснованный вывод о наличии перспектив продолжения деятельности по проекту</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7.3</w:t>
            </w:r>
          </w:p>
        </w:tc>
        <w:tc>
          <w:tcPr>
            <w:tcW w:w="5750" w:type="dxa"/>
          </w:tcPr>
          <w:p>
            <w:pPr>
              <w:pStyle w:val="0"/>
              <w:jc w:val="both"/>
            </w:pPr>
            <w:r>
              <w:rPr>
                <w:sz w:val="20"/>
              </w:rPr>
              <w:t xml:space="preserve">Дополнительные ресурсы на реализацию проекта не подтверждены и (или) несоразмерны с запрашиваемой суммой грантов:</w:t>
            </w:r>
          </w:p>
          <w:p>
            <w:pPr>
              <w:pStyle w:val="0"/>
              <w:jc w:val="both"/>
            </w:pPr>
            <w:r>
              <w:rPr>
                <w:sz w:val="20"/>
              </w:rPr>
              <w:t xml:space="preserve">- уровень собственного вклада и дополнительных ресурсов составляет от 5 до 10% бюджета проекта либо заявлен в большем объеме, но по некоторым позициям некорректно рассчитан и (или) подтвержден неубедительно (например, у организации нет опыта привлечения соизмеримых сумм финансирования, а подтверждающие документы (письма, соглашения и другие) от источников ресурсов в составе заявки отсутствуют);</w:t>
            </w:r>
          </w:p>
          <w:p>
            <w:pPr>
              <w:pStyle w:val="0"/>
              <w:jc w:val="both"/>
            </w:pPr>
            <w:r>
              <w:rPr>
                <w:sz w:val="20"/>
              </w:rPr>
              <w:t xml:space="preserve">- продолжение реализации проекта после окончания финансирования описано общими фразами;</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7.4</w:t>
            </w:r>
          </w:p>
        </w:tc>
        <w:tc>
          <w:tcPr>
            <w:tcW w:w="5750" w:type="dxa"/>
          </w:tcPr>
          <w:p>
            <w:pPr>
              <w:pStyle w:val="0"/>
              <w:jc w:val="both"/>
            </w:pPr>
            <w:r>
              <w:rPr>
                <w:sz w:val="20"/>
              </w:rPr>
              <w:t xml:space="preserve">Реализация проекта предполагается практически только за счет грантов:</w:t>
            </w:r>
          </w:p>
          <w:p>
            <w:pPr>
              <w:pStyle w:val="0"/>
              <w:jc w:val="both"/>
            </w:pPr>
            <w:r>
              <w:rPr>
                <w:sz w:val="20"/>
              </w:rPr>
              <w:t xml:space="preserve">- уровень собственного вклада и дополнительных ресурсов не более 5% бюджета проекта либо заявлен в большем объеме, но ничем не подтвержден;</w:t>
            </w:r>
          </w:p>
          <w:p>
            <w:pPr>
              <w:pStyle w:val="0"/>
              <w:jc w:val="both"/>
            </w:pPr>
            <w:r>
              <w:rPr>
                <w:sz w:val="20"/>
              </w:rPr>
              <w:t xml:space="preserve">- отсутствует описание работы по выбранному направлению после завершения грантовой поддержки;</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8</w:t>
            </w:r>
          </w:p>
        </w:tc>
        <w:tc>
          <w:tcPr>
            <w:tcW w:w="5750" w:type="dxa"/>
          </w:tcPr>
          <w:p>
            <w:pPr>
              <w:pStyle w:val="0"/>
              <w:jc w:val="both"/>
            </w:pPr>
            <w:r>
              <w:rPr>
                <w:sz w:val="20"/>
              </w:rPr>
              <w:t xml:space="preserve">Опыт организации по успешной реализации программ, проектов по соответствующему направлению деятельности</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8.1</w:t>
            </w:r>
          </w:p>
        </w:tc>
        <w:tc>
          <w:tcPr>
            <w:tcW w:w="5750" w:type="dxa"/>
          </w:tcPr>
          <w:p>
            <w:pPr>
              <w:pStyle w:val="0"/>
              <w:jc w:val="both"/>
            </w:pPr>
            <w:r>
              <w:rPr>
                <w:sz w:val="20"/>
              </w:rPr>
              <w:t xml:space="preserve">У организации отличный опыт проектной работы по выбранному грантовому направлению:</w:t>
            </w:r>
          </w:p>
          <w:p>
            <w:pPr>
              <w:pStyle w:val="0"/>
              <w:jc w:val="both"/>
            </w:pPr>
            <w:r>
              <w:rPr>
                <w:sz w:val="20"/>
              </w:rPr>
              <w:t xml:space="preserve">- организация имеет опыт устойчивой активной деятельности по выбранному грантовому направлению на протяжении более 5 лет;</w:t>
            </w:r>
          </w:p>
          <w:p>
            <w:pPr>
              <w:pStyle w:val="0"/>
              <w:jc w:val="both"/>
            </w:pPr>
            <w:r>
              <w:rPr>
                <w:sz w:val="20"/>
              </w:rPr>
              <w:t xml:space="preserve">- в заявке представлено описание собственного опыта организации с указанием конкретных программ, проектов или мероприятий; имеются сведения о результативности данных мероприятий; опыт деятельности и ее успешность подтверждаются наградами, отзывами, публикациями в средствах массовой информации и Интернете;</w:t>
            </w:r>
          </w:p>
          <w:p>
            <w:pPr>
              <w:pStyle w:val="0"/>
              <w:jc w:val="both"/>
            </w:pPr>
            <w:r>
              <w:rPr>
                <w:sz w:val="20"/>
              </w:rPr>
              <w:t xml:space="preserve">- организация получала целевые поступления на реализацию своих программ, проектов, информация о претензиях по поводу их использования отсутствует;</w:t>
            </w:r>
          </w:p>
          <w:p>
            <w:pPr>
              <w:pStyle w:val="0"/>
              <w:jc w:val="both"/>
            </w:pPr>
            <w:r>
              <w:rPr>
                <w:sz w:val="20"/>
              </w:rPr>
              <w:t xml:space="preserve">- у организации имеется сопоставимый с содержанием заявки опыт проектной деятельности (по масштабу и количеству мероприятий);</w:t>
            </w:r>
          </w:p>
          <w:p>
            <w:pPr>
              <w:pStyle w:val="0"/>
              <w:jc w:val="both"/>
            </w:pPr>
            <w:r>
              <w:rPr>
                <w:sz w:val="20"/>
              </w:rPr>
              <w:t xml:space="preserve">- у организации есть материально-техническая база для реализации проектов по выбранному грантовому направлению, имеются (если применимо) лицензии, иные разрешительные документы, обязательные для осуществления запланированной деятельности</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5%</w:t>
            </w:r>
          </w:p>
        </w:tc>
      </w:tr>
      <w:tr>
        <w:tc>
          <w:tcPr>
            <w:tcW w:w="624" w:type="dxa"/>
          </w:tcPr>
          <w:p>
            <w:pPr>
              <w:pStyle w:val="0"/>
            </w:pPr>
            <w:r>
              <w:rPr>
                <w:sz w:val="20"/>
              </w:rPr>
              <w:t xml:space="preserve">8.2</w:t>
            </w:r>
          </w:p>
        </w:tc>
        <w:tc>
          <w:tcPr>
            <w:tcW w:w="5750" w:type="dxa"/>
          </w:tcPr>
          <w:p>
            <w:pPr>
              <w:pStyle w:val="0"/>
              <w:jc w:val="both"/>
            </w:pPr>
            <w:r>
              <w:rPr>
                <w:sz w:val="20"/>
              </w:rPr>
              <w:t xml:space="preserve">У организации хороший опыт проектной работы по выбранному грантовому направлению:</w:t>
            </w:r>
          </w:p>
          <w:p>
            <w:pPr>
              <w:pStyle w:val="0"/>
              <w:jc w:val="both"/>
            </w:pPr>
            <w:r>
              <w:rPr>
                <w:sz w:val="20"/>
              </w:rPr>
              <w:t xml:space="preserve">- у организации имеется сопоставимый с содержанием заявки опыт системной и устойчивой проектной деятельности по выбранному грантовому направлению (по масштабу и количеству мероприятий);</w:t>
            </w:r>
          </w:p>
          <w:p>
            <w:pPr>
              <w:pStyle w:val="0"/>
              <w:jc w:val="both"/>
            </w:pPr>
            <w:r>
              <w:rPr>
                <w:sz w:val="20"/>
              </w:rPr>
              <w:t xml:space="preserve">- в заявке представлено описание собственного опыта организации с указанием конкретных программ, проектов или мероприятий; успешность опыта организации подтверждается наградами, отзывами, публикациями в средствах массовой информации и Интернете;</w:t>
            </w:r>
          </w:p>
          <w:p>
            <w:pPr>
              <w:pStyle w:val="0"/>
              <w:jc w:val="both"/>
            </w:pPr>
            <w:r>
              <w:rPr>
                <w:sz w:val="20"/>
              </w:rPr>
              <w:t xml:space="preserve">- организация имеет опыт активной деятельности на протяжении более 3 лет либо имеет опыт работы менее 3 лет, но создана гражданами, имеющими значительный опыт аналогичной деятельности</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8.3</w:t>
            </w:r>
          </w:p>
        </w:tc>
        <w:tc>
          <w:tcPr>
            <w:tcW w:w="5750" w:type="dxa"/>
          </w:tcPr>
          <w:p>
            <w:pPr>
              <w:pStyle w:val="0"/>
              <w:jc w:val="both"/>
            </w:pPr>
            <w:r>
              <w:rPr>
                <w:sz w:val="20"/>
              </w:rPr>
              <w:t xml:space="preserve">У организации удовлетворительный опыт проектной работы по выбранному грантовому направлению:</w:t>
            </w:r>
          </w:p>
          <w:p>
            <w:pPr>
              <w:pStyle w:val="0"/>
              <w:jc w:val="both"/>
            </w:pPr>
            <w:r>
              <w:rPr>
                <w:sz w:val="20"/>
              </w:rPr>
              <w:t xml:space="preserve">- в заявке приведено описание собственного опыта организации по реализации программ, проектов по выбранному грантовому направлению, но оно не позволяет сделать однозначный вывод о системном и устойчивом характере такой работы в течение 3 лет или с момента создания организации (если она существует меньше 3 лет) и наличии положительных результатов;</w:t>
            </w:r>
          </w:p>
          <w:p>
            <w:pPr>
              <w:pStyle w:val="0"/>
              <w:jc w:val="both"/>
            </w:pPr>
            <w:r>
              <w:rPr>
                <w:sz w:val="20"/>
              </w:rPr>
              <w:t xml:space="preserve">- организация имеет опыт реализации менее масштабных проектов по выбранному грантовому направлению и не имеет опыта работы с соизмеримыми (с запрашиваемой суммой грантов) объемами целевых средств;</w:t>
            </w:r>
          </w:p>
          <w:p>
            <w:pPr>
              <w:pStyle w:val="0"/>
              <w:jc w:val="both"/>
            </w:pPr>
            <w:r>
              <w:rPr>
                <w:sz w:val="20"/>
              </w:rPr>
              <w:t xml:space="preserve">- организация имеет опыт управления соизмеримыми (с запрашиваемой суммой грантов) объемами целевых средств, однако информация о реализованных проектах не освещена на сайте организации, заявленные достигнутые результаты не представлены;</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8.4</w:t>
            </w:r>
          </w:p>
        </w:tc>
        <w:tc>
          <w:tcPr>
            <w:tcW w:w="5750" w:type="dxa"/>
          </w:tcPr>
          <w:p>
            <w:pPr>
              <w:pStyle w:val="0"/>
              <w:jc w:val="both"/>
            </w:pPr>
            <w:r>
              <w:rPr>
                <w:sz w:val="20"/>
              </w:rPr>
              <w:t xml:space="preserve">У организации практически отсутствует опыт работы по выбранному грантовому направлению:</w:t>
            </w:r>
          </w:p>
          <w:p>
            <w:pPr>
              <w:pStyle w:val="0"/>
              <w:jc w:val="both"/>
            </w:pPr>
            <w:r>
              <w:rPr>
                <w:sz w:val="20"/>
              </w:rPr>
              <w:t xml:space="preserve">- организация не имеет опыта активной деятельности либо подтвержденной деятельности за последний год;</w:t>
            </w:r>
          </w:p>
          <w:p>
            <w:pPr>
              <w:pStyle w:val="0"/>
              <w:jc w:val="both"/>
            </w:pPr>
            <w:r>
              <w:rPr>
                <w:sz w:val="20"/>
              </w:rPr>
              <w:t xml:space="preserve">- опыт проектной работы организации в заявке практически не описан;</w:t>
            </w:r>
          </w:p>
          <w:p>
            <w:pPr>
              <w:pStyle w:val="0"/>
              <w:jc w:val="both"/>
            </w:pPr>
            <w:r>
              <w:rPr>
                <w:sz w:val="20"/>
              </w:rPr>
              <w:t xml:space="preserve">- имеются противоречия между описанным в заявке опытом организации и информацией из открытых источников (например, заявленные как реализованные мероприятия не отражены в общедоступных отчетах организации);</w:t>
            </w:r>
          </w:p>
          <w:p>
            <w:pPr>
              <w:pStyle w:val="0"/>
              <w:jc w:val="both"/>
            </w:pPr>
            <w:r>
              <w:rPr>
                <w:sz w:val="20"/>
              </w:rPr>
              <w:t xml:space="preserve">- организация не имеет лицензии, иных разрешительных документов, обязательных для осуществления запланированной деятельности (сведения о них в заявке отсутствуют);</w:t>
            </w:r>
          </w:p>
          <w:p>
            <w:pPr>
              <w:pStyle w:val="0"/>
              <w:jc w:val="both"/>
            </w:pPr>
            <w:r>
              <w:rPr>
                <w:sz w:val="20"/>
              </w:rPr>
              <w:t xml:space="preserve">- основной профиль деятельности организации не соответствует выбранному грантовому направлению;</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9</w:t>
            </w:r>
          </w:p>
        </w:tc>
        <w:tc>
          <w:tcPr>
            <w:tcW w:w="5750" w:type="dxa"/>
          </w:tcPr>
          <w:p>
            <w:pPr>
              <w:pStyle w:val="0"/>
              <w:jc w:val="both"/>
            </w:pPr>
            <w:r>
              <w:rPr>
                <w:sz w:val="20"/>
              </w:rPr>
              <w:t xml:space="preserve">Соответствие опыта и компетенций команды проекта планируемой деятельности</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9.1</w:t>
            </w:r>
          </w:p>
        </w:tc>
        <w:tc>
          <w:tcPr>
            <w:tcW w:w="5750" w:type="dxa"/>
          </w:tcPr>
          <w:p>
            <w:pPr>
              <w:pStyle w:val="0"/>
              <w:jc w:val="both"/>
            </w:pPr>
            <w:r>
              <w:rPr>
                <w:sz w:val="20"/>
              </w:rPr>
              <w:t xml:space="preserve">Данный критерий отлично выражен в заявке:</w:t>
            </w:r>
          </w:p>
          <w:p>
            <w:pPr>
              <w:pStyle w:val="0"/>
              <w:jc w:val="both"/>
            </w:pPr>
            <w:r>
              <w:rPr>
                <w:sz w:val="20"/>
              </w:rPr>
              <w:t xml:space="preserve">- проект полностью обеспечен опытными, квалифицированными специалистами по всем необходимым для реализации проекта профилям;</w:t>
            </w:r>
          </w:p>
          <w:p>
            <w:pPr>
              <w:pStyle w:val="0"/>
              <w:jc w:val="both"/>
            </w:pPr>
            <w:r>
              <w:rPr>
                <w:sz w:val="20"/>
              </w:rPr>
              <w:t xml:space="preserve">- в заявке доказана возможность каждого члена указанной в заявке команды качественно работать над проектом на условиях, в порядке и в сроки, установленные календарным планом и бюджетом проекта, без существенных замен в ходе проекта</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5%</w:t>
            </w:r>
          </w:p>
        </w:tc>
      </w:tr>
      <w:tr>
        <w:tc>
          <w:tcPr>
            <w:tcW w:w="624" w:type="dxa"/>
          </w:tcPr>
          <w:p>
            <w:pPr>
              <w:pStyle w:val="0"/>
            </w:pPr>
            <w:r>
              <w:rPr>
                <w:sz w:val="20"/>
              </w:rPr>
              <w:t xml:space="preserve">9.2</w:t>
            </w:r>
          </w:p>
        </w:tc>
        <w:tc>
          <w:tcPr>
            <w:tcW w:w="5750" w:type="dxa"/>
          </w:tcPr>
          <w:p>
            <w:pPr>
              <w:pStyle w:val="0"/>
              <w:jc w:val="both"/>
            </w:pPr>
            <w:r>
              <w:rPr>
                <w:sz w:val="20"/>
              </w:rPr>
              <w:t xml:space="preserve">Данный критерий хорошо выражен в заявке:</w:t>
            </w:r>
          </w:p>
          <w:p>
            <w:pPr>
              <w:pStyle w:val="0"/>
              <w:jc w:val="both"/>
            </w:pPr>
            <w:r>
              <w:rPr>
                <w:sz w:val="20"/>
              </w:rPr>
              <w:t xml:space="preserve">- проект в целом обеспечен опытными, квалифицированными специалистами, но по некоторым необходимым профилям информация отсутствует;</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9.3</w:t>
            </w:r>
          </w:p>
        </w:tc>
        <w:tc>
          <w:tcPr>
            <w:tcW w:w="5750" w:type="dxa"/>
          </w:tcPr>
          <w:p>
            <w:pPr>
              <w:pStyle w:val="0"/>
              <w:jc w:val="both"/>
            </w:pPr>
            <w:r>
              <w:rPr>
                <w:sz w:val="20"/>
              </w:rPr>
              <w:t xml:space="preserve">Данный критерий удовлетворительно выражен в заявке:</w:t>
            </w:r>
          </w:p>
          <w:p>
            <w:pPr>
              <w:pStyle w:val="0"/>
              <w:jc w:val="both"/>
            </w:pPr>
            <w:r>
              <w:rPr>
                <w:sz w:val="20"/>
              </w:rPr>
              <w:t xml:space="preserve">- в заявке содержится описание команды проекта, но конкретные исполнители основных мероприятий не названы либо не приводятся сведения об их знаниях и опыте или о выполняемых функциях в рамках реализации проекта;</w:t>
            </w:r>
          </w:p>
          <w:p>
            <w:pPr>
              <w:pStyle w:val="0"/>
              <w:jc w:val="both"/>
            </w:pPr>
            <w:r>
              <w:rPr>
                <w:sz w:val="20"/>
              </w:rPr>
              <w:t xml:space="preserve">- указанные в заявке члены команды проекта не в полной мере соответствуют уровню опыта и компетенций, необходимых для реализации проекта;</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9.4</w:t>
            </w:r>
          </w:p>
        </w:tc>
        <w:tc>
          <w:tcPr>
            <w:tcW w:w="5750" w:type="dxa"/>
          </w:tcPr>
          <w:p>
            <w:pPr>
              <w:pStyle w:val="0"/>
              <w:jc w:val="both"/>
            </w:pPr>
            <w:r>
              <w:rPr>
                <w:sz w:val="20"/>
              </w:rPr>
              <w:t xml:space="preserve">Данный критерий плохо выражен в заявке:</w:t>
            </w:r>
          </w:p>
          <w:p>
            <w:pPr>
              <w:pStyle w:val="0"/>
              <w:jc w:val="both"/>
            </w:pPr>
            <w:r>
              <w:rPr>
                <w:sz w:val="20"/>
              </w:rPr>
              <w:t xml:space="preserve">- описание команды проекта, ее квалификации, опыта работы в заявке практически отсутствует;</w:t>
            </w:r>
          </w:p>
          <w:p>
            <w:pPr>
              <w:pStyle w:val="0"/>
              <w:jc w:val="both"/>
            </w:pPr>
            <w:r>
              <w:rPr>
                <w:sz w:val="20"/>
              </w:rPr>
              <w:t xml:space="preserve">- имеются высокие риски реализации проекта в силу недостаточности опыта и низкой квалификации команды проекта;</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r>
        <w:tc>
          <w:tcPr>
            <w:tcW w:w="624" w:type="dxa"/>
          </w:tcPr>
          <w:p>
            <w:pPr>
              <w:pStyle w:val="0"/>
              <w:outlineLvl w:val="2"/>
            </w:pPr>
            <w:r>
              <w:rPr>
                <w:sz w:val="20"/>
              </w:rPr>
              <w:t xml:space="preserve">10</w:t>
            </w:r>
          </w:p>
        </w:tc>
        <w:tc>
          <w:tcPr>
            <w:tcW w:w="5750" w:type="dxa"/>
          </w:tcPr>
          <w:p>
            <w:pPr>
              <w:pStyle w:val="0"/>
              <w:jc w:val="both"/>
            </w:pPr>
            <w:r>
              <w:rPr>
                <w:sz w:val="20"/>
              </w:rPr>
              <w:t xml:space="preserve">Информационная открытость организации</w:t>
            </w:r>
          </w:p>
        </w:tc>
        <w:tc>
          <w:tcPr>
            <w:tcW w:w="1552" w:type="dxa"/>
          </w:tcPr>
          <w:p>
            <w:pPr>
              <w:pStyle w:val="0"/>
              <w:jc w:val="center"/>
            </w:pPr>
            <w:r>
              <w:rPr>
                <w:sz w:val="20"/>
              </w:rPr>
            </w:r>
          </w:p>
        </w:tc>
        <w:tc>
          <w:tcPr>
            <w:tcW w:w="1130" w:type="dxa"/>
          </w:tcPr>
          <w:p>
            <w:pPr>
              <w:pStyle w:val="0"/>
              <w:jc w:val="center"/>
            </w:pPr>
            <w:r>
              <w:rPr>
                <w:sz w:val="20"/>
              </w:rPr>
            </w:r>
          </w:p>
        </w:tc>
      </w:tr>
      <w:tr>
        <w:tc>
          <w:tcPr>
            <w:tcW w:w="624" w:type="dxa"/>
          </w:tcPr>
          <w:p>
            <w:pPr>
              <w:pStyle w:val="0"/>
            </w:pPr>
            <w:r>
              <w:rPr>
                <w:sz w:val="20"/>
              </w:rPr>
              <w:t xml:space="preserve">10.1</w:t>
            </w:r>
          </w:p>
        </w:tc>
        <w:tc>
          <w:tcPr>
            <w:tcW w:w="5750" w:type="dxa"/>
          </w:tcPr>
          <w:p>
            <w:pPr>
              <w:pStyle w:val="0"/>
              <w:jc w:val="both"/>
            </w:pPr>
            <w:r>
              <w:rPr>
                <w:sz w:val="20"/>
              </w:rPr>
              <w:t xml:space="preserve">Данный критерий отлично выражен в заявке:</w:t>
            </w:r>
          </w:p>
          <w:p>
            <w:pPr>
              <w:pStyle w:val="0"/>
              <w:jc w:val="both"/>
            </w:pPr>
            <w:r>
              <w:rPr>
                <w:sz w:val="20"/>
              </w:rPr>
              <w:t xml:space="preserve">- информацию о деятельности организации легко найти в Интернете с помощью поисковых запросов;</w:t>
            </w:r>
          </w:p>
          <w:p>
            <w:pPr>
              <w:pStyle w:val="0"/>
              <w:jc w:val="both"/>
            </w:pPr>
            <w:r>
              <w:rPr>
                <w:sz w:val="20"/>
              </w:rPr>
              <w:t xml:space="preserve">- деятельность организации систематически освещается в средствах массовой информации;</w:t>
            </w:r>
          </w:p>
          <w:p>
            <w:pPr>
              <w:pStyle w:val="0"/>
              <w:jc w:val="both"/>
            </w:pPr>
            <w:r>
              <w:rPr>
                <w:sz w:val="20"/>
              </w:rPr>
              <w:t xml:space="preserve">- организация имеет действующий, постоянно обновляемый сайт, на котором представлены подробные годовые отчеты о ее деятельности, размещена актуальная информация о реализованных проектах и мероприятиях, составе органов управления;</w:t>
            </w:r>
          </w:p>
          <w:p>
            <w:pPr>
              <w:pStyle w:val="0"/>
              <w:jc w:val="both"/>
            </w:pPr>
            <w:r>
              <w:rPr>
                <w:sz w:val="20"/>
              </w:rPr>
              <w:t xml:space="preserve">- организация имеет страницы (группы) в социальных сетях, на которых регулярно обновляется информация;</w:t>
            </w:r>
          </w:p>
          <w:p>
            <w:pPr>
              <w:pStyle w:val="0"/>
              <w:jc w:val="both"/>
            </w:pPr>
            <w:r>
              <w:rPr>
                <w:sz w:val="20"/>
              </w:rPr>
              <w:t xml:space="preserve">- организация регулярно публикует годовую отчетность о своей деятельности</w:t>
            </w:r>
          </w:p>
        </w:tc>
        <w:tc>
          <w:tcPr>
            <w:tcW w:w="1552" w:type="dxa"/>
          </w:tcPr>
          <w:p>
            <w:pPr>
              <w:pStyle w:val="0"/>
              <w:jc w:val="center"/>
            </w:pPr>
            <w:r>
              <w:rPr>
                <w:sz w:val="20"/>
              </w:rPr>
              <w:t xml:space="preserve">10</w:t>
            </w:r>
          </w:p>
        </w:tc>
        <w:tc>
          <w:tcPr>
            <w:tcW w:w="1130" w:type="dxa"/>
            <w:vMerge w:val="restart"/>
          </w:tcPr>
          <w:p>
            <w:pPr>
              <w:pStyle w:val="0"/>
              <w:jc w:val="center"/>
            </w:pPr>
            <w:r>
              <w:rPr>
                <w:sz w:val="20"/>
              </w:rPr>
              <w:t xml:space="preserve">5%</w:t>
            </w:r>
          </w:p>
        </w:tc>
      </w:tr>
      <w:tr>
        <w:tc>
          <w:tcPr>
            <w:tcW w:w="624" w:type="dxa"/>
          </w:tcPr>
          <w:p>
            <w:pPr>
              <w:pStyle w:val="0"/>
            </w:pPr>
            <w:r>
              <w:rPr>
                <w:sz w:val="20"/>
              </w:rPr>
              <w:t xml:space="preserve">10.2</w:t>
            </w:r>
          </w:p>
        </w:tc>
        <w:tc>
          <w:tcPr>
            <w:tcW w:w="5750" w:type="dxa"/>
          </w:tcPr>
          <w:p>
            <w:pPr>
              <w:pStyle w:val="0"/>
              <w:jc w:val="both"/>
            </w:pPr>
            <w:r>
              <w:rPr>
                <w:sz w:val="20"/>
              </w:rPr>
              <w:t xml:space="preserve">Данный критерий хорошо выражен в заявке:</w:t>
            </w:r>
          </w:p>
          <w:p>
            <w:pPr>
              <w:pStyle w:val="0"/>
              <w:jc w:val="both"/>
            </w:pPr>
            <w:r>
              <w:rPr>
                <w:sz w:val="20"/>
              </w:rPr>
              <w:t xml:space="preserve">- организация имеет действующий сайт, страницы (группы) в социальных сетях с актуальной информацией, однако без подробных сведений о работе организации, привлекаемых ею ресурсах, составе органов управления, реализованных программах, проектах;</w:t>
            </w:r>
          </w:p>
          <w:p>
            <w:pPr>
              <w:pStyle w:val="0"/>
              <w:jc w:val="both"/>
            </w:pPr>
            <w:r>
              <w:rPr>
                <w:sz w:val="20"/>
              </w:rPr>
              <w:t xml:space="preserve">- информацию о деятельности организации легко найти в Интернете с помощью поисковых запросов;</w:t>
            </w:r>
          </w:p>
          <w:p>
            <w:pPr>
              <w:pStyle w:val="0"/>
              <w:jc w:val="both"/>
            </w:pPr>
            <w:r>
              <w:rPr>
                <w:sz w:val="20"/>
              </w:rPr>
              <w:t xml:space="preserve">- деятельность организации периодически освещается в средствах массовой информации;</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8</w:t>
            </w:r>
          </w:p>
        </w:tc>
        <w:tc>
          <w:tcPr>
            <w:vMerge w:val="continue"/>
          </w:tcPr>
          <w:p/>
        </w:tc>
      </w:tr>
      <w:tr>
        <w:tc>
          <w:tcPr>
            <w:tcW w:w="624" w:type="dxa"/>
          </w:tcPr>
          <w:p>
            <w:pPr>
              <w:pStyle w:val="0"/>
            </w:pPr>
            <w:r>
              <w:rPr>
                <w:sz w:val="20"/>
              </w:rPr>
              <w:t xml:space="preserve">10.3</w:t>
            </w:r>
          </w:p>
        </w:tc>
        <w:tc>
          <w:tcPr>
            <w:tcW w:w="5750" w:type="dxa"/>
          </w:tcPr>
          <w:p>
            <w:pPr>
              <w:pStyle w:val="0"/>
              <w:jc w:val="both"/>
            </w:pPr>
            <w:r>
              <w:rPr>
                <w:sz w:val="20"/>
              </w:rPr>
              <w:t xml:space="preserve">Данный критерий удовлетворительно выражен в заявке:</w:t>
            </w:r>
          </w:p>
          <w:p>
            <w:pPr>
              <w:pStyle w:val="0"/>
              <w:jc w:val="both"/>
            </w:pPr>
            <w:r>
              <w:rPr>
                <w:sz w:val="20"/>
              </w:rPr>
              <w:t xml:space="preserve">- деятельность организации мало освещается в средствах массовой информации и в Интернете;</w:t>
            </w:r>
          </w:p>
          <w:p>
            <w:pPr>
              <w:pStyle w:val="0"/>
              <w:jc w:val="both"/>
            </w:pPr>
            <w:r>
              <w:rPr>
                <w:sz w:val="20"/>
              </w:rPr>
              <w:t xml:space="preserve">- у организации есть сайт и (или) страница (группа) в социальной сети, которые содержат неактуальную (устаревшую) информацию;</w:t>
            </w:r>
          </w:p>
          <w:p>
            <w:pPr>
              <w:pStyle w:val="0"/>
              <w:jc w:val="both"/>
            </w:pPr>
            <w:r>
              <w:rPr>
                <w:sz w:val="20"/>
              </w:rPr>
              <w:t xml:space="preserve">- отчеты о деятельности организации отсутствуют в открытом доступе;</w:t>
            </w:r>
          </w:p>
          <w:p>
            <w:pPr>
              <w:pStyle w:val="0"/>
              <w:jc w:val="both"/>
            </w:pPr>
            <w:r>
              <w:rPr>
                <w:sz w:val="20"/>
              </w:rPr>
              <w:t xml:space="preserve">- имеются другие замечания эксперта (с комментарием)</w:t>
            </w:r>
          </w:p>
        </w:tc>
        <w:tc>
          <w:tcPr>
            <w:tcW w:w="1552" w:type="dxa"/>
          </w:tcPr>
          <w:p>
            <w:pPr>
              <w:pStyle w:val="0"/>
              <w:jc w:val="center"/>
            </w:pPr>
            <w:r>
              <w:rPr>
                <w:sz w:val="20"/>
              </w:rPr>
              <w:t xml:space="preserve">5</w:t>
            </w:r>
          </w:p>
        </w:tc>
        <w:tc>
          <w:tcPr>
            <w:vMerge w:val="continue"/>
          </w:tcPr>
          <w:p/>
        </w:tc>
      </w:tr>
      <w:tr>
        <w:tc>
          <w:tcPr>
            <w:tcW w:w="624" w:type="dxa"/>
          </w:tcPr>
          <w:p>
            <w:pPr>
              <w:pStyle w:val="0"/>
            </w:pPr>
            <w:r>
              <w:rPr>
                <w:sz w:val="20"/>
              </w:rPr>
              <w:t xml:space="preserve">10.4</w:t>
            </w:r>
          </w:p>
        </w:tc>
        <w:tc>
          <w:tcPr>
            <w:tcW w:w="5750" w:type="dxa"/>
          </w:tcPr>
          <w:p>
            <w:pPr>
              <w:pStyle w:val="0"/>
              <w:jc w:val="both"/>
            </w:pPr>
            <w:r>
              <w:rPr>
                <w:sz w:val="20"/>
              </w:rPr>
              <w:t xml:space="preserve">Данный критерий плохо выражен в заявке:</w:t>
            </w:r>
          </w:p>
          <w:p>
            <w:pPr>
              <w:pStyle w:val="0"/>
              <w:jc w:val="both"/>
            </w:pPr>
            <w:r>
              <w:rPr>
                <w:sz w:val="20"/>
              </w:rPr>
              <w:t xml:space="preserve">- информация о деятельности организации практически отсутствует в Интернете;</w:t>
            </w:r>
          </w:p>
          <w:p>
            <w:pPr>
              <w:pStyle w:val="0"/>
              <w:jc w:val="both"/>
            </w:pPr>
            <w:r>
              <w:rPr>
                <w:sz w:val="20"/>
              </w:rPr>
              <w:t xml:space="preserve">- имеются другие серьезные замечания эксперта (с комментарием)</w:t>
            </w:r>
          </w:p>
        </w:tc>
        <w:tc>
          <w:tcPr>
            <w:tcW w:w="1552" w:type="dxa"/>
          </w:tcPr>
          <w:p>
            <w:pPr>
              <w:pStyle w:val="0"/>
              <w:jc w:val="center"/>
            </w:pPr>
            <w:r>
              <w:rPr>
                <w:sz w:val="20"/>
              </w:rPr>
              <w:t xml:space="preserve">2</w:t>
            </w:r>
          </w:p>
        </w:tc>
        <w:tc>
          <w:tcPr>
            <w:vMerge w:val="continue"/>
          </w:tcP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Воронежской обл. от 22.05.2025 N 338</w:t>
            <w:br/>
            <w:t>"Об утверждении Порядка предоставления грантов в форме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1" TargetMode = "External"/><Relationship Id="rId9" Type="http://schemas.openxmlformats.org/officeDocument/2006/relationships/hyperlink" Target="https://login.consultant.ru/link/?req=doc&amp;base=LAW&amp;n=522972&amp;dst=100020" TargetMode = "External"/><Relationship Id="rId10" Type="http://schemas.openxmlformats.org/officeDocument/2006/relationships/hyperlink" Target="https://login.consultant.ru/link/?req=doc&amp;base=RLAW181&amp;n=134276" TargetMode = "External"/><Relationship Id="rId11" Type="http://schemas.openxmlformats.org/officeDocument/2006/relationships/hyperlink" Target="https://login.consultant.ru/link/?req=doc&amp;base=RLAW181&amp;n=125527" TargetMode = "External"/><Relationship Id="rId12" Type="http://schemas.openxmlformats.org/officeDocument/2006/relationships/hyperlink" Target="https://login.consultant.ru/link/?req=doc&amp;base=RLAW181&amp;n=123886" TargetMode = "External"/><Relationship Id="rId13" Type="http://schemas.openxmlformats.org/officeDocument/2006/relationships/hyperlink" Target="https://login.consultant.ru/link/?req=doc&amp;base=LAW&amp;n=520154&amp;dst=3704" TargetMode = "External"/><Relationship Id="rId14" Type="http://schemas.openxmlformats.org/officeDocument/2006/relationships/hyperlink" Target="https://login.consultant.ru/link/?req=doc&amp;base=LAW&amp;n=520154&amp;dst=3722" TargetMode = "External"/><Relationship Id="rId15" Type="http://schemas.openxmlformats.org/officeDocument/2006/relationships/hyperlink" Target="https://login.consultant.ru/link/?req=doc&amp;base=RLAW181&amp;n=125527&amp;dst=100011" TargetMode = "External"/><Relationship Id="rId16" Type="http://schemas.openxmlformats.org/officeDocument/2006/relationships/hyperlink" Target="https://login.consultant.ru/link/?req=doc&amp;base=RLAW181&amp;n=134276&amp;dst=2" TargetMode = "External"/><Relationship Id="rId17" Type="http://schemas.openxmlformats.org/officeDocument/2006/relationships/hyperlink" Target="https://login.consultant.ru/link/?req=doc&amp;base=LAW&amp;n=121087&amp;dst=100142" TargetMode = "External"/><Relationship Id="rId18" Type="http://schemas.openxmlformats.org/officeDocument/2006/relationships/hyperlink" Target="https://login.consultant.ru/link/?req=doc&amp;base=LAW&amp;n=503698" TargetMode = "External"/><Relationship Id="rId19" Type="http://schemas.openxmlformats.org/officeDocument/2006/relationships/hyperlink" Target="https://login.consultant.ru/link/?req=doc&amp;base=LAW&amp;n=520119&amp;dst=5769" TargetMode = "External"/><Relationship Id="rId20" Type="http://schemas.openxmlformats.org/officeDocument/2006/relationships/hyperlink" Target="https://login.consultant.ru/link/?req=doc&amp;base=LAW&amp;n=507521&amp;dst=134" TargetMode = "External"/><Relationship Id="rId21" Type="http://schemas.openxmlformats.org/officeDocument/2006/relationships/hyperlink" Target="https://login.consultant.ru/link/?req=doc&amp;base=RLAW181&amp;n=129808&amp;dst=100033" TargetMode = "External"/><Relationship Id="rId22" Type="http://schemas.openxmlformats.org/officeDocument/2006/relationships/hyperlink" Target="https://login.consultant.ru/link/?req=doc&amp;base=LAW&amp;n=520154&amp;dst=3704" TargetMode = "External"/><Relationship Id="rId23" Type="http://schemas.openxmlformats.org/officeDocument/2006/relationships/hyperlink" Target="https://login.consultant.ru/link/?req=doc&amp;base=LAW&amp;n=520154&amp;dst=3722" TargetMode = "External"/><Relationship Id="rId24" Type="http://schemas.openxmlformats.org/officeDocument/2006/relationships/hyperlink" Target="https://login.consultant.ru/link/?req=doc&amp;base=LAW&amp;n=520154&amp;dst=3704" TargetMode = "External"/><Relationship Id="rId25" Type="http://schemas.openxmlformats.org/officeDocument/2006/relationships/hyperlink" Target="https://login.consultant.ru/link/?req=doc&amp;base=LAW&amp;n=520154&amp;dst=3722" TargetMode = "External"/><Relationship Id="rId26" Type="http://schemas.openxmlformats.org/officeDocument/2006/relationships/hyperlink" Target="https://login.consultant.ru/link/?req=doc&amp;base=LAW&amp;n=520154&amp;dst=3704" TargetMode = "External"/><Relationship Id="rId27"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Воронежской обл. от 22.05.2025 N 338
"Об утверждении Порядка предоставления грантов в форме субсидий социально ориентированным некоммерческим организациям на реализацию программ (проектов) в сфере культуры"</dc:title>
  <dcterms:created xsi:type="dcterms:W3CDTF">2026-01-08T11:22:34Z</dcterms:created>
</cp:coreProperties>
</file>