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Воронежской обл. от 02.06.2025 N 360</w:t>
              <w:br/>
              <w:t xml:space="preserve">"Об утверждении Порядка предоставления субсидии из областного бюджета на поддержку некоммерческой организации - Ассоциация территориального общественного самоуправления и местных сообществ Воронежской области в рамках государственной программы Воронежской области "Общественное доверие и реализация государственной национальной политики в Воронежской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 июня 2025 г. N 360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ПРЕДОСТАВЛЕНИЯ СУБСИДИИ ИЗ ОБЛАСТНОГО</w:t>
      </w:r>
    </w:p>
    <w:p>
      <w:pPr>
        <w:pStyle w:val="2"/>
        <w:jc w:val="center"/>
      </w:pPr>
      <w:r>
        <w:rPr>
          <w:sz w:val="20"/>
        </w:rPr>
        <w:t xml:space="preserve">БЮДЖЕТА НА ПОДДЕРЖКУ НЕКОММЕРЧЕСКОЙ ОРГАНИЗАЦИИ - АССОЦИАЦИЯ</w:t>
      </w:r>
    </w:p>
    <w:p>
      <w:pPr>
        <w:pStyle w:val="2"/>
        <w:jc w:val="center"/>
      </w:pPr>
      <w:r>
        <w:rPr>
          <w:sz w:val="20"/>
        </w:rPr>
        <w:t xml:space="preserve">ТЕРРИТОРИАЛЬНОГО ОБЩЕСТВЕННОГО САМОУПРАВЛЕНИЯ И МЕСТНЫХ</w:t>
      </w:r>
    </w:p>
    <w:p>
      <w:pPr>
        <w:pStyle w:val="2"/>
        <w:jc w:val="center"/>
      </w:pPr>
      <w:r>
        <w:rPr>
          <w:sz w:val="20"/>
        </w:rPr>
        <w:t xml:space="preserve">СООБЩЕСТВ ВОРОНЕЖСКОЙ ОБЛАСТИ В РАМКАХ ГОСУДАРСТВЕННОЙ</w:t>
      </w:r>
    </w:p>
    <w:p>
      <w:pPr>
        <w:pStyle w:val="2"/>
        <w:jc w:val="center"/>
      </w:pPr>
      <w:r>
        <w:rPr>
          <w:sz w:val="20"/>
        </w:rPr>
        <w:t xml:space="preserve">ПРОГРАММЫ ВОРОНЕЖСКОЙ ОБЛАСТИ "ОБЩЕСТВЕННОЕ ДОВЕРИЕ</w:t>
      </w:r>
    </w:p>
    <w:p>
      <w:pPr>
        <w:pStyle w:val="2"/>
        <w:jc w:val="center"/>
      </w:pPr>
      <w:r>
        <w:rPr>
          <w:sz w:val="20"/>
        </w:rPr>
        <w:t xml:space="preserve">И РЕАЛИЗАЦИЯ ГОСУДАРСТВЕННОЙ НАЦИОНАЛЬНОЙ ПОЛИТИКИ</w:t>
      </w:r>
    </w:p>
    <w:p>
      <w:pPr>
        <w:pStyle w:val="2"/>
        <w:jc w:val="center"/>
      </w:pPr>
      <w:r>
        <w:rPr>
          <w:sz w:val="20"/>
        </w:rPr>
        <w:t xml:space="preserve">В ВОРОНЕЖСКОЙ ОБЛАСТИ"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8" w:tooltip="&quot;Бюджетный кодекс Российской Федерации&quot; от 31.07.1998 N 145-ФЗ (ред. от 21.04.2025) (с изм. и доп., вступ. в силу с 01.06.2025) ------------ Недействующая редакция {КонсультантПлюс}">
        <w:r>
          <w:rPr>
            <w:sz w:val="20"/>
            <w:color w:val="0000ff"/>
          </w:rPr>
          <w:t xml:space="preserve">статьей 78.1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9" w:tooltip="Постановление Правительства РФ от 25.10.2023 N 1782 (ред. от 16.11.2024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субсидий", </w:t>
      </w:r>
      <w:hyperlink w:history="0" r:id="rId10" w:tooltip="Постановление Правительства Воронежской обл. от 20.09.2024 N 650 &quot;Об утверждении государственной программы Воронежской области &quot;Общественное доверие и реализация государственной национальной политики в Воронеж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Воронежской области от 20.09.2024 N 650 "Об утверждении государственной программы Воронежской области "Общественное доверие и реализация государственной национальной политики в Воронежской области" и в целях приведения нормативных правовых актов Воронежской области в соответствие действующему законодательству Правительство Воронежской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3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субсидии из областного бюджета на поддержку некоммерческой организации - Ассоциация территориального общественного самоуправления и местных сообществ Воронежской области в рамках государственной программы Воронежской области "Общественное доверие и реализация государственной национальной политики в Воронежской области" согласно приложению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постановления возложить на заместителя Губернатора Воронежской области Маслова Д.Н.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Воронежской области</w:t>
      </w:r>
    </w:p>
    <w:p>
      <w:pPr>
        <w:pStyle w:val="0"/>
        <w:jc w:val="right"/>
      </w:pPr>
      <w:r>
        <w:rPr>
          <w:sz w:val="20"/>
        </w:rPr>
        <w:t xml:space="preserve">А.В.ГУСЕВ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02.06.2025 N 360</w:t>
      </w:r>
    </w:p>
    <w:p>
      <w:pPr>
        <w:pStyle w:val="0"/>
        <w:jc w:val="both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СУБСИДИИ ИЗ ОБЛАСТНОГО БЮДЖЕТА НА ПОДДЕРЖКУ</w:t>
      </w:r>
    </w:p>
    <w:p>
      <w:pPr>
        <w:pStyle w:val="2"/>
        <w:jc w:val="center"/>
      </w:pPr>
      <w:r>
        <w:rPr>
          <w:sz w:val="20"/>
        </w:rPr>
        <w:t xml:space="preserve">НЕКОММЕРЧЕСКОЙ ОРГАНИЗАЦИИ - АССОЦИАЦИЯ ТЕРРИТОРИАЛЬНОГО</w:t>
      </w:r>
    </w:p>
    <w:p>
      <w:pPr>
        <w:pStyle w:val="2"/>
        <w:jc w:val="center"/>
      </w:pPr>
      <w:r>
        <w:rPr>
          <w:sz w:val="20"/>
        </w:rPr>
        <w:t xml:space="preserve">ОБЩЕСТВЕННОГО САМОУПРАВЛЕНИЯ И МЕСТНЫХ СООБЩЕСТВ ВОРОНЕЖСКОЙ</w:t>
      </w:r>
    </w:p>
    <w:p>
      <w:pPr>
        <w:pStyle w:val="2"/>
        <w:jc w:val="center"/>
      </w:pPr>
      <w:r>
        <w:rPr>
          <w:sz w:val="20"/>
        </w:rPr>
        <w:t xml:space="preserve">ОБЛАСТИ В РАМКАХ ГОСУДАРСТВЕННОЙ ПРОГРАММЫ ВОРОНЕЖСКОЙ</w:t>
      </w:r>
    </w:p>
    <w:p>
      <w:pPr>
        <w:pStyle w:val="2"/>
        <w:jc w:val="center"/>
      </w:pPr>
      <w:r>
        <w:rPr>
          <w:sz w:val="20"/>
        </w:rPr>
        <w:t xml:space="preserve">ОБЛАСТИ "ОБЩЕСТВЕННОЕ ДОВЕРИЕ И РЕАЛИЗАЦИЯ ГОСУДАРСТВЕННОЙ</w:t>
      </w:r>
    </w:p>
    <w:p>
      <w:pPr>
        <w:pStyle w:val="2"/>
        <w:jc w:val="center"/>
      </w:pPr>
      <w:r>
        <w:rPr>
          <w:sz w:val="20"/>
        </w:rPr>
        <w:t xml:space="preserve">НАЦИОНАЛЬНОЙ ПОЛИТИКИ В ВОРОНЕЖСКОЙ ОБЛАСТИ"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предоставления субсидии из областного бюджета на поддержку некоммерческой организации - Ассоциация территориального общественного самоуправления и местных сообществ Воронежской области в рамках государственной программы Воронежской области "Общественное доверие и реализация государственной национальной политики в Воронежской области" (далее соответственно - Порядок, субсидия) устанавливает цели, условия и порядок предоставления субсидии, требования к представлению отчетности, проведению мониторинга достижения результатов предоставления субсидии, осуществлению контроля за соблюдением условий и порядка предоставления субсидии и ответственности за их нарушение.</w:t>
      </w:r>
    </w:p>
    <w:bookmarkStart w:id="44" w:name="P44"/>
    <w:bookmarkEnd w:id="4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Целью предоставления субсидии является обеспечение уставной деятельности Ассоциации территориального общественного самоуправления и местных сообществ Воронежской области, направленной на развитие гражданского общества и его институтов (территориального местного самоуправления и местных сообществ) на территории Воронежской области, поддержку территориального общественного самоуправления, совершенствование форм и методов взаимодействия территориального общественного самоуправления и местных сообществ с органами государственной власти и органами местного самоуправления, а также работы с населением.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Субсидия предоставляется в рамках реализации комплекса процессных мероприятий "Содействие развитию местного самоуправления, в том числе территориального общественного самоуправления" государственной </w:t>
      </w:r>
      <w:hyperlink w:history="0" r:id="rId11" w:tooltip="Постановление Правительства Воронежской обл. от 20.09.2024 N 650 &quot;Об утверждении государственной программы Воронежской области &quot;Общественное доверие и реализация государственной национальной политики в Воронежс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Воронежской области "Общественное доверие и реализация государственной национальной политики в Воронежской области", утвержденной постановлением Правительства Воронежской области от 20.09.2024 N 650, в соответствии со сводной бюджетной росписью в пределах бюджетных ассигнований, предусмотренных законом Воронежской области об областном бюджете на текущий год и на плановый период на цели, указанные в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Исполнительным органом Воронежской области,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и плановый период, является министерство внутренней политики Воронежской области (далее - МВП Воронежской области).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Получателем субсидии является Ассоциация территориального общественного самоуправления и местных сообществ Воронежской области (далее - Ассоциация, получатель субсидии).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Способом предоставления субсидии является финансовое обеспечение затрат, связанных с осуществлением уставной деятельности Ассоциации.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Информация о субсидии размещается на едином портале бюджетной системы Российской Федерации в информационно-телекоммуникационной сети "Интернет" (далее соответственно - сеть "Интернет", единый портал) (в разделе единого портала) в порядке, установленном Министерством финансов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субсидии направляется МВП Воронежской области в министерство финансов Воронежской области для предоставления ее в Министерство финансов Российской Федерации для размещения на едином портале в сети "Интернет" (в разделе единого портала).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Условия и порядок предоставления субсидии</w:t>
      </w:r>
    </w:p>
    <w:p>
      <w:pPr>
        <w:pStyle w:val="0"/>
        <w:jc w:val="both"/>
      </w:pPr>
      <w:r>
        <w:rPr>
          <w:sz w:val="20"/>
        </w:rPr>
      </w:r>
    </w:p>
    <w:bookmarkStart w:id="54" w:name="P54"/>
    <w:bookmarkEnd w:id="54"/>
    <w:p>
      <w:pPr>
        <w:pStyle w:val="0"/>
        <w:ind w:firstLine="540"/>
        <w:jc w:val="both"/>
      </w:pPr>
      <w:r>
        <w:rPr>
          <w:sz w:val="20"/>
        </w:rPr>
        <w:t xml:space="preserve">2.1. На дату принятия решения о предоставлении субсидии Ассоциация должна соответствовать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Ассоциация не является иностранным юридическим лицом, в том числе местом регистрации которого являются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Ассоциация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Ассоциация не находится в составляемых в рамках реализации полномочий, предусмотренных </w:t>
      </w:r>
      <w:hyperlink w:history="0" r:id="rId12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Ассоциация не получает средства из бюджета Воронежской области на основании иных нормативных правовых актов Воронежской области на цели, установленные </w:t>
      </w:r>
      <w:hyperlink w:history="0" w:anchor="P44" w:tooltip="1.2. Целью предоставления субсидии является обеспечение уставной деятельности Ассоциации территориального общественного самоуправления и местных сообществ Воронежской области, направленной на развитие гражданского общества и его институтов (территориального местного самоуправления и местных сообществ) на территории Воронежской области, поддержку территориального общественного самоуправления, совершенствование форм и методов взаимодействия территориального общественного самоуправления и местных сообществ ...">
        <w:r>
          <w:rPr>
            <w:sz w:val="20"/>
            <w:color w:val="0000ff"/>
          </w:rPr>
          <w:t xml:space="preserve">пунктом 1.2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Ассоциация не является иностранным агентом в соответствии с Федеральным </w:t>
      </w:r>
      <w:hyperlink w:history="0" r:id="rId13" w:tooltip="Федеральный закон от 14.07.2022 N 255-ФЗ (ред. от 21.04.2025) &quot;О контроле за деятельностью лиц, находящихся под иностранным влиянием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14.07.2022 N 255-ФЗ "О контроле за деятельностью лиц, находящихся под иностранным влиянием";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 Ассоциации на едином налоговом счете отсутствует или не превышает размер, определенный </w:t>
      </w:r>
      <w:hyperlink w:history="0" r:id="rId14" w:tooltip="&quot;Налоговый кодекс Российской Федерации (часть первая)&quot; от 31.07.1998 N 146-ФЗ (ред. от 29.11.2024, с изм. от 21.01.2025) (с изм. и доп., вступ. в силу с 05.02.2025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 Ассоциации отсутствуют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областным бюджетом (за исключением случаев, установленных Правительством Воронежской области);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Ассоциация не находится в процессе реорганизации (за исключением реорганизации в форме присоединения к Ассоциации другого юридического лица), ликвидации, в отношении ее не введена процедура банкротства, деятельность Ассоциации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Ассоциации.</w:t>
      </w:r>
    </w:p>
    <w:bookmarkStart w:id="64" w:name="P64"/>
    <w:bookmarkEnd w:id="6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Условиями предоставления субсидии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2.2.1. Направления расходов, источником финансового обеспечения которых является субсидия: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оплата труда работников Ассоциации;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взносы по обязательному социальному страхованию на оплату труда работников Ассоциации;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возмещение расходов, связанных со служебными командировками работников Ассоциации;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закупка товаров, работ, услуг для ведения Ассоциацией уставной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уплата налогов, государственных пошлин и сборов, разного рода платежей в бюджеты всех уровней.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закупке товаров, работ, услуг относятся следующие виды расходов: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услуги связи (услуги почтовой связи, услуги телефонно-телеграфной, факсимильной, сотовой, радиосвязи, интернет-провайдеров);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коммунальные услуги (оплата услуг отопления, горячего и холодного водоснабжения, предоставления газа и электроэнергии, другие расходы по оплате коммунальных услуг);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арендная плата за пользование имуществом (расходы по оплате арендной платы в соответствии с заключенными договорами аренды (субаренды, имущественного найма, проката) объектов нефинансовых активов);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работы, услуги по содержанию имущества (расходы по оплате договоров на выполнение работ, оказание услуг, связанных с содержанием (работы и услуги, осуществляемые с целью поддержания и (или) восстановления функциональных, пользовательских характеристик объекта), обслуживанием, ремонтом нефинансовых активов, в том числе полученных в аренду или безвозмездное пользование);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прочие работы, услуги (услуги по страхованию имущества, гражданской ответственности и здоровья, услуги в области информационных технологий, типографские работы, услуги по предрейсовому осмотру водителей, состоящих в штате, услуги по предоставлению выписок из государственных реестров, подписка на периодические и справочные издания, услуги рекламного характера, нотариальные услуги, услуги и работы по организации и проведению разного рода мероприятий путем оформления между заказчиком мероприятия и исполнителем договора на организацию мероприятия, предусматривающего осуществление исполнителем всех расходов, связанных с его реализацией, услуги и работы по организации участия в выставках, конференциях, форумах, семинарах, совещаниях, тренингах, соревнованиях, услуги, оказываемые в рамках договора комиссии, и другие аналогичные расходы);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прочие расходы (приобретение (изготовление) подарочной и сувенирной продукции, не предназначенной для дальнейшей перепродажи, приобретение цветов и другие аналогичные расходы);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увеличение стоимости основных средств (на приобретение (изготовление) объектов, относящихся к основным средствам, а также реконструкцию, техническое перевооружение, расширение, модернизацию (модернизацию с дооборудованием) основных средств, находящихся в собственности Ассоциации, полученных в аренду или безвозмездное пользование);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увеличение стоимости материальных запасов (расходы по оплате договоров на приобретение (изготовление) объектов, относящихся к материальным запасам).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2.2.2. Запрет приобретения Ассоциацией, а также иными юридическими лицами, получающими средства на основании договоров (соглашений), заключенных с получателем субсидии,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определенных настоящим Порядком.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2.2.3. Согласие Ассоциации и лиц, являющихся поставщиками (подрядчиками, исполнителями) по договорам (соглашениям), заключенным в целях исполнения обязательств по соглашению о предоставлении субсидии, на осуществление в отношении их проверки МВП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w:history="0" r:id="rId15" w:tooltip="&quot;Бюджетный кодекс Российской Федерации&quot; от 31.07.1998 N 145-ФЗ (ред. от 21.04.2025) (с изм. и доп., вступ. в силу с 01.06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6" w:tooltip="&quot;Бюджетный кодекс Российской Федерации&quot; от 31.07.1998 N 145-ФЗ (ред. от 21.04.2025) (с изм. и доп., вступ. в силу с 01.06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 и на включение таких положений в соглашение о предоставлении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МВП Воронежской области осуществляет проверку на соответствие Ассоциации требованиям, указанным в </w:t>
      </w:r>
      <w:hyperlink w:history="0" w:anchor="P54" w:tooltip="2.1. На дату принятия решения о предоставлении субсидии Ассоциация должна соответствовать следующим требованиям:">
        <w:r>
          <w:rPr>
            <w:sz w:val="20"/>
            <w:color w:val="0000ff"/>
          </w:rPr>
          <w:t xml:space="preserve">пункте 2.1</w:t>
        </w:r>
      </w:hyperlink>
      <w:r>
        <w:rPr>
          <w:sz w:val="20"/>
        </w:rPr>
        <w:t xml:space="preserve"> Порядка, и рассматривает документы, предусмотренные </w:t>
      </w:r>
      <w:hyperlink w:history="0" w:anchor="P88" w:tooltip="2.4. Для получения субсидии Ассоциация предоставляет в МВП Воронежской области следующие документы:">
        <w:r>
          <w:rPr>
            <w:sz w:val="20"/>
            <w:color w:val="0000ff"/>
          </w:rPr>
          <w:t xml:space="preserve">пунктом 2.4</w:t>
        </w:r>
      </w:hyperlink>
      <w:r>
        <w:rPr>
          <w:sz w:val="20"/>
        </w:rPr>
        <w:t xml:space="preserve"> Порядка, в течение 5 рабочих дней со дня их поступления от Ассоциации.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соответствия Ассоциации требованиям, указанным в </w:t>
      </w:r>
      <w:hyperlink w:history="0" w:anchor="P54" w:tooltip="2.1. На дату принятия решения о предоставлении субсидии Ассоциация должна соответствовать следующим требованиям:">
        <w:r>
          <w:rPr>
            <w:sz w:val="20"/>
            <w:color w:val="0000ff"/>
          </w:rPr>
          <w:t xml:space="preserve">пункте 2.1</w:t>
        </w:r>
      </w:hyperlink>
      <w:r>
        <w:rPr>
          <w:sz w:val="20"/>
        </w:rPr>
        <w:t xml:space="preserve"> Порядка, осуществляется МВП Воронежской области с использованием информации, полученной из открытых источников, в том числе информационных ресурсов сети "Интернет".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результатам проверки на соответствие требованиям, указанным в </w:t>
      </w:r>
      <w:hyperlink w:history="0" w:anchor="P54" w:tooltip="2.1. На дату принятия решения о предоставлении субсидии Ассоциация должна соответствовать следующим требованиям:">
        <w:r>
          <w:rPr>
            <w:sz w:val="20"/>
            <w:color w:val="0000ff"/>
          </w:rPr>
          <w:t xml:space="preserve">пункте 2.1</w:t>
        </w:r>
      </w:hyperlink>
      <w:r>
        <w:rPr>
          <w:sz w:val="20"/>
        </w:rPr>
        <w:t xml:space="preserve"> Порядка, а также рассмотрения документов, предусмотренных </w:t>
      </w:r>
      <w:hyperlink w:history="0" w:anchor="P88" w:tooltip="2.4. Для получения субсидии Ассоциация предоставляет в МВП Воронежской области следующие документы:">
        <w:r>
          <w:rPr>
            <w:sz w:val="20"/>
            <w:color w:val="0000ff"/>
          </w:rPr>
          <w:t xml:space="preserve">пунктом 2.4</w:t>
        </w:r>
      </w:hyperlink>
      <w:r>
        <w:rPr>
          <w:sz w:val="20"/>
        </w:rPr>
        <w:t xml:space="preserve"> Порядка, МВП Воронежской области принимает решение: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 предоставлении субсидии (при отсутствии оснований для отказа в предоставлении субсидии);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об отказе в предоставлении субсидии (при наличии оснований для отказа в предоставлении субсидии).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принятия решения о предоставлении субсидии МВП Воронежской области в течение 3 рабочих дней со дня принятия такого решения издает приказ о предоставлении субсидии и готовит проект соглашения о предоставлении субсидии Ассоциации. В течение 5 рабочих дней со дня принятия решения МВП Воронежской области направляет в Ассоциацию письменное уведомление о предоставлении субсидии или об отказе в предоставлении субсидии с указанием основания для отказа.</w:t>
      </w:r>
    </w:p>
    <w:bookmarkStart w:id="88" w:name="P88"/>
    <w:bookmarkEnd w:id="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Для получения субсидии Ассоциация предоставляет в МВП Воронежской области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w:anchor="P175" w:tooltip="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предоставлении субсидии из областного бюджета по форме согласно приложению N 1 к Порядку;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копию штатного расписания Ассоциации;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w:anchor="P252" w:tooltip="СМЕТА РАСХОДОВ">
        <w:r>
          <w:rPr>
            <w:sz w:val="20"/>
            <w:color w:val="0000ff"/>
          </w:rPr>
          <w:t xml:space="preserve">смету</w:t>
        </w:r>
      </w:hyperlink>
      <w:r>
        <w:rPr>
          <w:sz w:val="20"/>
        </w:rPr>
        <w:t xml:space="preserve"> расходов на содержание аппарата Ассоциации и ведение уставной деятельности на текущий финансовый год, в том числе расходов за счет средств предоставляемой субсидии, согласно приложению N 2 к Порядку;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сведения о руководителе, членах коллегиального исполнительного органа, лице, исполняющем функции единоличного исполнительного органа, или главном бухгалтере Ассоциации.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указанные в настоящем пункте, представляются в МВП Воронежской области в двух экземплярах и должны быть пронумерованы, прошнурованы и скреплены печатью и заверены Ассоциацией.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Ответственность за достоверность и полноту представленных сведений и документов, указанных в настоящем пункте, возлагается на Ассоциацию.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МВП Воронежской области запрашивает самостоятельно в установленном порядке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справку налогового органа об отсутствии у получателя субсидии просроченной задолженности по налогам и иным обязательным платежам, выписку из Единого государственного реестра юридических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Основаниями для отказа Ассоциации в предоставлении субсидии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несоответствие представленных Ассоциацией документов требованиям, определенным </w:t>
      </w:r>
      <w:hyperlink w:history="0" w:anchor="P88" w:tooltip="2.4. Для получения субсидии Ассоциация предоставляет в МВП Воронежской области следующие документы:">
        <w:r>
          <w:rPr>
            <w:sz w:val="20"/>
            <w:color w:val="0000ff"/>
          </w:rPr>
          <w:t xml:space="preserve">пунктом 2.4</w:t>
        </w:r>
      </w:hyperlink>
      <w:r>
        <w:rPr>
          <w:sz w:val="20"/>
        </w:rPr>
        <w:t xml:space="preserve"> Порядка, или непредставление (представление не в полном объеме) указанных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несоответствие Ассоциации требованиям и (или) условиям, установленным в </w:t>
      </w:r>
      <w:hyperlink w:history="0" w:anchor="P54" w:tooltip="2.1. На дату принятия решения о предоставлении субсидии Ассоциация должна соответствовать следующим требованиям:">
        <w:r>
          <w:rPr>
            <w:sz w:val="20"/>
            <w:color w:val="0000ff"/>
          </w:rPr>
          <w:t xml:space="preserve">пунктах 2.1</w:t>
        </w:r>
      </w:hyperlink>
      <w:r>
        <w:rPr>
          <w:sz w:val="20"/>
        </w:rPr>
        <w:t xml:space="preserve">, </w:t>
      </w:r>
      <w:hyperlink w:history="0" w:anchor="P64" w:tooltip="2.2. Условиями предоставления субсидии являются:">
        <w:r>
          <w:rPr>
            <w:sz w:val="20"/>
            <w:color w:val="0000ff"/>
          </w:rPr>
          <w:t xml:space="preserve">2.2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установление факта недостоверности представленной Ассоциацией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невыполнение целей и условий предоставления субсидии, установленных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отказ Ассоциации от заключения соглашения о предоставлении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уклонение Ассоциации от заключения соглашения о предоставлении субсидии в сроки, установленные </w:t>
      </w:r>
      <w:hyperlink w:history="0" w:anchor="P113" w:tooltip="2.7. При принятии решения о предоставлении субсидии в течение 7 рабочих дней с даты принятия решения о предоставлении субсидии МВП Воронежской области заключает с Ассоциацией соглашение о предоставлении субсидии в соответствии с типовой формой, утвержденной министерством финансов Воронежской области (далее - соглашение).">
        <w:r>
          <w:rPr>
            <w:sz w:val="20"/>
            <w:color w:val="0000ff"/>
          </w:rPr>
          <w:t xml:space="preserve">пунктом 2.7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отсутствие лимитов бюджетных обязательств на предоставление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Определение объема субсидии, предоставляемой Ассоциации, осуществляется в соответствии с законом Воронежской области об областном бюджете на текущий финансовый год и на плановый период в пределах бюджетных ассигнований, предусмотренных МВП Воронежской области на указанные цели.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субсидии, предоставляемой Ассоциации, определяется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 = Спост. + Сперем.,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- общий объем субсидии, предоставляемой Ассоциации;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Спост. - постоянная составляющая части субсидии на содержание аппарата Ассоциации и уплату взносов по обязательному социальному страхованию на оплату труда;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Сперем. - переменная составляющая части субсидии на возмещение расходов, связанных со служебными командировками работников Ассоциации, и закупку товаров, работ, услуг для ведения Ассоциацией уставной деятельности.</w:t>
      </w:r>
    </w:p>
    <w:bookmarkStart w:id="113" w:name="P113"/>
    <w:bookmarkEnd w:id="11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 При принятии решения о предоставлении субсидии в течение 7 рабочих дней с даты принятия решения о предоставлении субсидии МВП Воронежской области заключает с Ассоциацией соглашение о предоставлении субсидии в соответствии с типовой формой, утвержденной министерством финансов Воронежской области (далее - соглашение).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необходимости внесения изменений в заключенное соглашение или наличия обстоятельств, влекущих за собой расторжение соглашения, между МВП Воронежской области и Ассоциацией заключается дополнительное соглашение в соответствии с типовыми формами, установленными министерством финансов Воронежской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Ассоциации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Ассоциации в форме разделения, выделения, а также при ликвидации Ассоциации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Ассоциацией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2.8. В случае уменьшения МВП Воронежской области ранее доведенных лимитов бюджетных обязательств, приводящего к невозможности предоставления субсидии в размере, определенном в соглашении, условия о согласовании новых условий соглашения или о расторжении соглашения при недостижении согласия по новым условиям включаются в соглашение.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увеличения МВП Воронежской области в течение текущего финансового года лимитов бюджетных обязательств МВП Воронежской области готовит проект дополнительного соглашения об увеличении лимитов бюджетных обязательств к соглашению и направляет его в Ассоциацию для подписания в течение 5 рабочих дней. Ассоциация направляет указанное подписанное дополнительное соглашение в МВП Воронежской области в течение 2 рабочих дней со дня получения проекта дополнительного соглашения. Перечисление дополнительной части лимитов бюджетных обязательств осуществляется в сроки, указанные в </w:t>
      </w:r>
      <w:hyperlink w:history="0" w:anchor="P121" w:tooltip="2.10. Перечисление субсидии осуществляется ежеквартально в соответствии с заключенным соглашением не позднее 10-го рабочего дня, следующего за днем принятия МВП Воронежской области отчета Ассоциации о расходовании субсидии за предыдущий период.">
        <w:r>
          <w:rPr>
            <w:sz w:val="20"/>
            <w:color w:val="0000ff"/>
          </w:rPr>
          <w:t xml:space="preserve">пункте 2.10</w:t>
        </w:r>
      </w:hyperlink>
      <w:r>
        <w:rPr>
          <w:sz w:val="20"/>
        </w:rPr>
        <w:t xml:space="preserve"> Порядка.</w:t>
      </w:r>
    </w:p>
    <w:bookmarkStart w:id="119" w:name="P119"/>
    <w:bookmarkEnd w:id="11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 Результатом предоставления субсидии является выполнение мероприятия (результата) "Обеспечено сопровождение проектной деятельности органов территориального общественного самоуправления и местных сообществ Воронежской области" (единиц). Тип мероприятия (результата) - иные мероприятия (результаты).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Значение результата предоставления субсидии для Ассоциации с указанием точной даты завершения устанавливается МВП Воронежской области в соглашении в соответствии с показателем, установленным в государственной программе Воронежской области "Общественное доверие и реализация государственной национальной политики в Воронежской области".</w:t>
      </w:r>
    </w:p>
    <w:bookmarkStart w:id="121" w:name="P121"/>
    <w:bookmarkEnd w:id="12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 Перечисление субсидии осуществляется ежеквартально в соответствии с заключенным соглашением не позднее 10-го рабочего дня, следующего за днем принятия МВП Воронежской области отчета Ассоциации о расходовании субсидии за предыдущий период.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Перечисление субсидии в первом квартале финансового года осуществляется в течение 15 рабочих дней со дня заключения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перечисления субсидии МВП Воронежской области направляет в министерство финансов Воронежской области распоряжение о совершении казначейских платежей (реестр финансирования на перечисление средств), копию соглашения, копию приказа МВП Воронежской области о предоставлении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 Перечисление средств субсидии, предоставляемой Ассоциации из областного бюджета, производится на лицевой счет Ассоциации, открытый в министерстве финансов Воронежской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Требования к представлению отчетности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Ассоциация ежеквартально в срок до 10-го числа месяца, следующего за отчетным кварталом, представляет в МВП Воронежской области отчет о достижении значений результатов предоставления субсидии и об осуществлении расходов, источником финансового обеспечения которых является субсидия, по форме, определенной типовой формой соглашения, установленной министерством финансов Воронежской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МВП Воронежской области в течение 15 рабочих дней со дня поступления отчета осуществляет проверку отчета на соответствие требованиям Порядка и соглашения, по результатам которой: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3.2.1. В случае соответствия отчета требованиям Порядка и соглашения - принимает отчет и направляет в Ассоциацию уведомление о принятии отчета.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3.2.2. При наличии замечаний к отчету - возвращает его в Ассоциацию на доработку. Ассоциация дорабатывает отчет в течение 5 рабочих дней со дня его получения и представляет в МВП Воронежской области доработанный отчет для проведения повторной проверки.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3.2.3. В случае неустранения замечаний к отчету или выявления несоответствия отчета требованиям Порядка и соглашения - направляет в Ассоциацию требование об обеспечении возврата субсидии в областной бюджет в размере и сроки, которые определены в соответствии с бюджетным законодательством и Порядком.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МВП Воронежской области как получатель бюджетных средств вправе устанавливать в соглашении сроки и формы дополнительной отчетности, предоставляемой Ассоциацией в МВП Воронежской области (ежемесячная информация о сальдо единого налогового счета по состоянию на 1-е число месяца, следующего за отчетным).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Ассоциация несет ответственность за достоверность сведений, содержащихся в отчетных документах, и соблюдение условий, установленных Порядком.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Требования к проведению мониторинга достижения</w:t>
      </w:r>
    </w:p>
    <w:p>
      <w:pPr>
        <w:pStyle w:val="2"/>
        <w:jc w:val="center"/>
      </w:pPr>
      <w:r>
        <w:rPr>
          <w:sz w:val="20"/>
        </w:rPr>
        <w:t xml:space="preserve">результатов предоставления субсидии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Мониторинг достижения результата предоставления субсидии, указанного в </w:t>
      </w:r>
      <w:hyperlink w:history="0" w:anchor="P119" w:tooltip="2.9. Результатом предоставления субсидии является выполнение мероприятия (результата) &quot;Обеспечено сопровождение проектной деятельности органов территориального общественного самоуправления и местных сообществ Воронежской области&quot; (единиц). Тип мероприятия (результата) - иные мероприятия (результаты).">
        <w:r>
          <w:rPr>
            <w:sz w:val="20"/>
            <w:color w:val="0000ff"/>
          </w:rPr>
          <w:t xml:space="preserve">пункте 2.9</w:t>
        </w:r>
      </w:hyperlink>
      <w:r>
        <w:rPr>
          <w:sz w:val="20"/>
        </w:rPr>
        <w:t xml:space="preserve"> Порядка,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проводится МВП Воронежской области в порядке и по формам, которые установлены порядком проведения мониторинга достижения результатов предоставления субсидий, утвержденным Министерством финансов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Требования об осуществлении контроля</w:t>
      </w:r>
    </w:p>
    <w:p>
      <w:pPr>
        <w:pStyle w:val="2"/>
        <w:jc w:val="center"/>
      </w:pPr>
      <w:r>
        <w:rPr>
          <w:sz w:val="20"/>
        </w:rPr>
        <w:t xml:space="preserve">за соблюдением условий и порядка предоставления субсидии</w:t>
      </w:r>
    </w:p>
    <w:p>
      <w:pPr>
        <w:pStyle w:val="2"/>
        <w:jc w:val="center"/>
      </w:pPr>
      <w:r>
        <w:rPr>
          <w:sz w:val="20"/>
        </w:rPr>
        <w:t xml:space="preserve">и ответственности за их нарушение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МВП Воронежской области осуществляет проверки соблюдения получателем субсидии условий и порядка предоставления субсидии, в том числе в части достижения результатов предоставления субсидии, а также органы государственного финансового контроля осуществляют проверки в соответствии со </w:t>
      </w:r>
      <w:hyperlink w:history="0" r:id="rId17" w:tooltip="&quot;Бюджетный кодекс Российской Федерации&quot; от 31.07.1998 N 145-ФЗ (ред. от 21.04.2025) (с изм. и доп., вступ. в силу с 01.06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8" w:tooltip="&quot;Бюджетный кодекс Российской Федерации&quot; от 31.07.1998 N 145-ФЗ (ред. от 21.04.2025) (с изм. и доп., вступ. в силу с 01.06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МВП Воронежской области осуществляет контроль за целевым и эффективным использованием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Ответственность за нецелевое использование субсидии, недостоверность сведений, содержащихся в представленных документах и отчетности, несет Ассоциация в соответствии с действующим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В случае нарушения Ассоциацией условий, установленных при предоставлении субсидии, выявленного в том числе по фактам проверок, проведенных МВП Воронежской области, органом государственного финансового контроля Воронежской области, а также в случае недостижения значений результатов предоставления субсидии средства субсидии и средства, полученные на основании договоров (соглашений), заключенных с получателем субсидии, подлежат возврату в доход бюджета Воронежской области в соответствии с бюджетным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5.5. При выявлении нарушения условий, установленных при предоставлении субсидии, а также в случае недостижения значений результатов предоставления субсидии в текущем финансовом году МВП Воронежской области принимает меры по возврату субсидии и средств, полученных на основании договоров (соглашений), заключенных с получателем субсидии, в бюджет Воронежской области и направляет Ассоциации требование о возврате субсидии в течение 10 рабочих дней с даты выявления соответствующих нарушений или недостижения результатов.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Субсидия подлежит возврату в областной бюджет в течение 30 календарных дней с даты получения Ассоциацией требования о возврате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5.6. При невозврате субсидии в установленный в требовании срок МВП Воронежской области принимает меры по взысканию подлежащей возврату субсидии в областной бюджет в судебном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5.7. Остаток субсидии, не использованный по состоянию на 1 января года, следующего за годом предоставления субсидии, подлежит возврату в областной бюджет при отсутствии в нем потребности у Ассоциации в течение первых 10 рабочих дней года, следующего за годом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5.8. В случае если Ассоциацией по состоянию на 31 декабря года предоставления субсидии допущены нарушения обязательств, в том числе недостижение значений результатов предоставления субсидии, предусмотренных соглашением, и в срок до 1 февраля года, следующего за годом предоставления субсидии, указанные нарушения не устранены, то часть субсидии, определенная соглашением, подлежит возврату в областной бюджет в срок до 1 марта года, следующего за годом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5.9. В случае если получателем субсидии не достигнуты значения результата предоставления субсидии, установленные в соглашении, субсидия подлежит возврату в областной бюджет в срок до 1 мая года, следующего за отчетным.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Значения результатов предоставления субсидии, установленные в соглашении при предоставлении субсидии, пропорциональны в процентном соотношении объему предоставляемых средств. Размер денежных средств, подлежащих возврату, равен проценту невыполнения значения результата предоставления субсидии.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предоставления субсидии из областного бюджета</w:t>
      </w:r>
    </w:p>
    <w:p>
      <w:pPr>
        <w:pStyle w:val="0"/>
        <w:jc w:val="right"/>
      </w:pPr>
      <w:r>
        <w:rPr>
          <w:sz w:val="20"/>
        </w:rPr>
        <w:t xml:space="preserve">на поддержку некоммерческой организации</w:t>
      </w:r>
    </w:p>
    <w:p>
      <w:pPr>
        <w:pStyle w:val="0"/>
        <w:jc w:val="right"/>
      </w:pPr>
      <w:r>
        <w:rPr>
          <w:sz w:val="20"/>
        </w:rPr>
        <w:t xml:space="preserve">- Ассоциация территориального общественного</w:t>
      </w:r>
    </w:p>
    <w:p>
      <w:pPr>
        <w:pStyle w:val="0"/>
        <w:jc w:val="right"/>
      </w:pPr>
      <w:r>
        <w:rPr>
          <w:sz w:val="20"/>
        </w:rPr>
        <w:t xml:space="preserve">самоуправления и местных сообществ Воронежской</w:t>
      </w:r>
    </w:p>
    <w:p>
      <w:pPr>
        <w:pStyle w:val="0"/>
        <w:jc w:val="right"/>
      </w:pPr>
      <w:r>
        <w:rPr>
          <w:sz w:val="20"/>
        </w:rPr>
        <w:t xml:space="preserve">области в рамках государственной программы</w:t>
      </w:r>
    </w:p>
    <w:p>
      <w:pPr>
        <w:pStyle w:val="0"/>
        <w:jc w:val="right"/>
      </w:pPr>
      <w:r>
        <w:rPr>
          <w:sz w:val="20"/>
        </w:rPr>
        <w:t xml:space="preserve">Воронежской области "Общественное доверие</w:t>
      </w:r>
    </w:p>
    <w:p>
      <w:pPr>
        <w:pStyle w:val="0"/>
        <w:jc w:val="right"/>
      </w:pPr>
      <w:r>
        <w:rPr>
          <w:sz w:val="20"/>
        </w:rPr>
        <w:t xml:space="preserve">и реализация государственной национальной</w:t>
      </w:r>
    </w:p>
    <w:p>
      <w:pPr>
        <w:pStyle w:val="0"/>
        <w:jc w:val="right"/>
      </w:pPr>
      <w:r>
        <w:rPr>
          <w:sz w:val="20"/>
        </w:rPr>
        <w:t xml:space="preserve">политики в Воронежской области"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43"/>
        <w:gridCol w:w="964"/>
        <w:gridCol w:w="567"/>
        <w:gridCol w:w="454"/>
        <w:gridCol w:w="1805"/>
        <w:gridCol w:w="2381"/>
      </w:tblGrid>
      <w:tr>
        <w:tc>
          <w:tcPr>
            <w:gridSpan w:val="6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Министерство внутренней политики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Воронежской области</w:t>
            </w:r>
          </w:p>
        </w:tc>
      </w:tr>
      <w:tr>
        <w:tc>
          <w:tcPr>
            <w:gridSpan w:val="6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bookmarkStart w:id="175" w:name="P175"/>
          <w:bookmarkEnd w:id="175"/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предоставлении субсидии из областного бюджета на поддержку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Ассоциации территориального общественного самоуправления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 местных сообществ Воронежской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20___ году</w:t>
            </w:r>
          </w:p>
        </w:tc>
      </w:tr>
      <w:tr>
        <w:tc>
          <w:tcPr>
            <w:gridSpan w:val="6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Ассоциация территориального общественного самоуправления и местных сообществ Воронежской области (Ассоциация ТОС и местных сообществ Воронежской области) в лице руководителя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  <w:i w:val="on"/>
              </w:rPr>
              <w:t xml:space="preserve">(фамилия, имя, отчество)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 соответствии с </w:t>
            </w:r>
            <w:hyperlink w:history="0" w:anchor="P33" w:tooltip="ПОРЯДОК">
              <w:r>
                <w:rPr>
                  <w:sz w:val="20"/>
                  <w:color w:val="0000ff"/>
                </w:rPr>
                <w:t xml:space="preserve">Порядком</w:t>
              </w:r>
            </w:hyperlink>
            <w:r>
              <w:rPr>
                <w:sz w:val="20"/>
              </w:rPr>
              <w:t xml:space="preserve"> предоставления субсидии из областного бюджета на поддержку некоммерческой организации - Ассоциация территориального общественного самоуправления и местных сообществ Воронежской области в рамках государственной программы Воронежской области "Общественное доверие и реализация государственной национальной политики в Воронежской области" (далее соответственно - Порядок, субсидия) просит предоставить субсидию из областного бюджета на поддержку обеспечения уставной деятельности Ассоциации территориального общественного самоуправления и местных сообществ Воронежской области (далее - Ассоциация) в сумме</w:t>
            </w:r>
          </w:p>
        </w:tc>
      </w:tr>
      <w:tr>
        <w:tc>
          <w:tcPr>
            <w:gridSpan w:val="6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(сумма прописью)</w:t>
            </w:r>
          </w:p>
        </w:tc>
      </w:tr>
      <w:tr>
        <w:tc>
          <w:tcPr>
            <w:gridSpan w:val="6"/>
            <w:tcW w:w="90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тысяч рублей, в том числе:</w:t>
            </w:r>
          </w:p>
        </w:tc>
      </w:tr>
      <w:tr>
        <w:tblPrEx>
          <w:tblBorders>
            <w:left w:val="single" w:sz="4"/>
            <w:right w:val="single" w:sz="4"/>
            <w:insideH w:val="single" w:sz="4"/>
          </w:tblBorders>
        </w:tblPrEx>
        <w:tc>
          <w:tcPr>
            <w:gridSpan w:val="5"/>
            <w:tcW w:w="6633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Направления расходования средств</w:t>
            </w:r>
          </w:p>
        </w:tc>
        <w:tc>
          <w:tcPr>
            <w:tcW w:w="2381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Сумма, тыс. рублей</w:t>
            </w:r>
          </w:p>
        </w:tc>
      </w:tr>
      <w:tr>
        <w:tblPrEx>
          <w:tblBorders>
            <w:left w:val="single" w:sz="4"/>
            <w:right w:val="single" w:sz="4"/>
            <w:insideH w:val="single" w:sz="4"/>
          </w:tblBorders>
        </w:tblPrEx>
        <w:tc>
          <w:tcPr>
            <w:gridSpan w:val="5"/>
            <w:tcW w:w="6633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Оплата труда работников Ассоциации</w:t>
            </w:r>
          </w:p>
        </w:tc>
        <w:tc>
          <w:tcPr>
            <w:tcW w:w="2381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single" w:sz="4"/>
            <w:right w:val="single" w:sz="4"/>
            <w:insideH w:val="single" w:sz="4"/>
          </w:tblBorders>
        </w:tblPrEx>
        <w:tc>
          <w:tcPr>
            <w:gridSpan w:val="5"/>
            <w:tcW w:w="6633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Взносы по обязательному социальному страхованию на оплату труда работников Ассоциации</w:t>
            </w:r>
          </w:p>
        </w:tc>
        <w:tc>
          <w:tcPr>
            <w:tcW w:w="2381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single" w:sz="4"/>
            <w:right w:val="single" w:sz="4"/>
            <w:insideH w:val="single" w:sz="4"/>
          </w:tblBorders>
        </w:tblPrEx>
        <w:tc>
          <w:tcPr>
            <w:gridSpan w:val="5"/>
            <w:tcW w:w="6633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Возмещение расходов, связанных со служебными командировками работников Ассоциации</w:t>
            </w:r>
          </w:p>
        </w:tc>
        <w:tc>
          <w:tcPr>
            <w:tcW w:w="2381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single" w:sz="4"/>
            <w:right w:val="single" w:sz="4"/>
            <w:insideH w:val="single" w:sz="4"/>
          </w:tblBorders>
        </w:tblPrEx>
        <w:tc>
          <w:tcPr>
            <w:gridSpan w:val="5"/>
            <w:tcW w:w="6633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Закупка товаров, работ, услуг для ведения Ассоциацией уставной деятельности</w:t>
            </w:r>
          </w:p>
        </w:tc>
        <w:tc>
          <w:tcPr>
            <w:tcW w:w="2381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single" w:sz="4"/>
            <w:right w:val="single" w:sz="4"/>
            <w:insideH w:val="single" w:sz="4"/>
          </w:tblBorders>
        </w:tblPrEx>
        <w:tc>
          <w:tcPr>
            <w:gridSpan w:val="5"/>
            <w:tcW w:w="6633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Уплата налогов, государственных пошлин и сборов, разного рода платежей в бюджеты всех уровней</w:t>
            </w:r>
          </w:p>
        </w:tc>
        <w:tc>
          <w:tcPr>
            <w:tcW w:w="2381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1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Настоящим подтверждаем, что Ассоциация соответствует требованиям, установленным </w:t>
            </w:r>
            <w:hyperlink w:history="0" w:anchor="P54" w:tooltip="2.1. На дату принятия решения о предоставлении субсидии Ассоциация должна соответствовать следующим требованиям:">
              <w:r>
                <w:rPr>
                  <w:sz w:val="20"/>
                  <w:color w:val="0000ff"/>
                </w:rPr>
                <w:t xml:space="preserve">пунктом 2.1</w:t>
              </w:r>
            </w:hyperlink>
            <w:r>
              <w:rPr>
                <w:sz w:val="20"/>
              </w:rPr>
              <w:t xml:space="preserve"> Порядка.</w:t>
            </w:r>
          </w:p>
        </w:tc>
      </w:tr>
      <w:tr>
        <w:tc>
          <w:tcPr>
            <w:gridSpan w:val="6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К заявлению прилагаются документы в соответствии с перечнем, установленным Порядком, на ___________ л.</w:t>
            </w:r>
          </w:p>
        </w:tc>
      </w:tr>
      <w:tr>
        <w:tc>
          <w:tcPr>
            <w:gridSpan w:val="6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  <w:i w:val="on"/>
              </w:rPr>
              <w:t xml:space="preserve">Сведения о заявителе:</w:t>
            </w:r>
          </w:p>
          <w:p>
            <w:pPr>
              <w:pStyle w:val="0"/>
            </w:pPr>
            <w:r>
              <w:rPr>
                <w:sz w:val="20"/>
              </w:rPr>
              <w:t xml:space="preserve">1. Документ, подтверждающий факт внесения записи в единый государственный реестр юридических лиц:</w:t>
            </w:r>
          </w:p>
        </w:tc>
      </w:tr>
      <w:tr>
        <w:tc>
          <w:tcPr>
            <w:gridSpan w:val="6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серия ___ N _______от "___" ________20___ г., выдан 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  <w:i w:val="on"/>
              </w:rPr>
              <w:t xml:space="preserve">(наименование органа, выдавшего документ)</w:t>
            </w:r>
          </w:p>
          <w:p>
            <w:pPr>
              <w:pStyle w:val="0"/>
            </w:pPr>
            <w:r>
              <w:rPr>
                <w:sz w:val="20"/>
              </w:rPr>
              <w:t xml:space="preserve">2. ОГРН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3. ИНН/КПП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4. </w:t>
            </w:r>
            <w:hyperlink w:history="0" r:id="rId19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841/2025) {КонсультантПлюс}">
              <w:r>
                <w:rPr>
                  <w:sz w:val="20"/>
                  <w:color w:val="0000ff"/>
                </w:rPr>
                <w:t xml:space="preserve">ОКТМО</w:t>
              </w:r>
            </w:hyperlink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5. Юридический адрес/адрес местонахождения, телефон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6. Реквизиты для перечисления субсидии:</w:t>
            </w:r>
          </w:p>
          <w:p>
            <w:pPr>
              <w:pStyle w:val="0"/>
            </w:pPr>
            <w:r>
              <w:rPr>
                <w:sz w:val="20"/>
              </w:rPr>
              <w:t xml:space="preserve">Лицевой счет в министерстве финансов Воронежской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Банковские реквизиты:</w:t>
            </w:r>
          </w:p>
          <w:p>
            <w:pPr>
              <w:pStyle w:val="0"/>
            </w:pPr>
            <w:r>
              <w:rPr>
                <w:sz w:val="20"/>
              </w:rPr>
              <w:t xml:space="preserve">БИК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Казначейский счет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Единый казначейский счет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</w:tc>
      </w:tr>
      <w:tr>
        <w:tblPrEx>
          <w:tblBorders>
            <w:insideV w:val="nil"/>
          </w:tblBorders>
        </w:tblPrEx>
        <w:tc>
          <w:tcPr>
            <w:gridSpan w:val="2"/>
            <w:tcW w:w="3807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 Вид деятельности организации по </w:t>
            </w:r>
            <w:hyperlink w:history="0" r:id="rId20" w:tooltip="&quot;ОК 029-2014 (КДЕС Ред. 2). Общероссийский классификатор видов экономической деятельности&quot; (утв. Приказом Росстандарта от 31.01.2014 N 14-ст) (ред. от 09.04.202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ОКВЭД</w:t>
              </w:r>
            </w:hyperlink>
            <w:r>
              <w:rPr>
                <w:sz w:val="20"/>
              </w:rPr>
              <w:t xml:space="preserve">:</w:t>
            </w:r>
          </w:p>
        </w:tc>
        <w:tc>
          <w:tcPr>
            <w:gridSpan w:val="4"/>
            <w:tcW w:w="5207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i w:val="on"/>
              </w:rPr>
              <w:t xml:space="preserve">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  <w:i w:val="on"/>
              </w:rPr>
              <w:t xml:space="preserve">(номер и расшифровка)</w:t>
            </w:r>
          </w:p>
        </w:tc>
      </w:tr>
      <w:tr>
        <w:tc>
          <w:tcPr>
            <w:gridSpan w:val="6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</w:tblBorders>
        </w:tblPrEx>
        <w:tc>
          <w:tcPr>
            <w:tcW w:w="2843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</w:t>
            </w:r>
          </w:p>
        </w:tc>
        <w:tc>
          <w:tcPr>
            <w:gridSpan w:val="2"/>
            <w:tcW w:w="153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</w:t>
            </w:r>
          </w:p>
          <w:p>
            <w:pPr>
              <w:pStyle w:val="0"/>
              <w:jc w:val="center"/>
            </w:pPr>
            <w:r>
              <w:rPr>
                <w:sz w:val="20"/>
                <w:i w:val="on"/>
              </w:rPr>
              <w:t xml:space="preserve">(подпись)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418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i w:val="on"/>
              </w:rPr>
              <w:t xml:space="preserve">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  <w:i w:val="on"/>
              </w:rPr>
              <w:t xml:space="preserve">(расшифровка подписи)</w:t>
            </w:r>
          </w:p>
        </w:tc>
      </w:tr>
      <w:tr>
        <w:tc>
          <w:tcPr>
            <w:gridSpan w:val="6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МП</w:t>
            </w:r>
          </w:p>
          <w:p>
            <w:pPr>
              <w:pStyle w:val="0"/>
            </w:pPr>
            <w:r>
              <w:rPr>
                <w:sz w:val="20"/>
              </w:rPr>
              <w:t xml:space="preserve">"___" ___________ 20___ г.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предоставления субсидии из областного бюджета</w:t>
      </w:r>
    </w:p>
    <w:p>
      <w:pPr>
        <w:pStyle w:val="0"/>
        <w:jc w:val="right"/>
      </w:pPr>
      <w:r>
        <w:rPr>
          <w:sz w:val="20"/>
        </w:rPr>
        <w:t xml:space="preserve">на поддержку некоммерческой организации</w:t>
      </w:r>
    </w:p>
    <w:p>
      <w:pPr>
        <w:pStyle w:val="0"/>
        <w:jc w:val="right"/>
      </w:pPr>
      <w:r>
        <w:rPr>
          <w:sz w:val="20"/>
        </w:rPr>
        <w:t xml:space="preserve">- Ассоциация территориального общественного</w:t>
      </w:r>
    </w:p>
    <w:p>
      <w:pPr>
        <w:pStyle w:val="0"/>
        <w:jc w:val="right"/>
      </w:pPr>
      <w:r>
        <w:rPr>
          <w:sz w:val="20"/>
        </w:rPr>
        <w:t xml:space="preserve">самоуправления и местных сообществ Воронежской</w:t>
      </w:r>
    </w:p>
    <w:p>
      <w:pPr>
        <w:pStyle w:val="0"/>
        <w:jc w:val="right"/>
      </w:pPr>
      <w:r>
        <w:rPr>
          <w:sz w:val="20"/>
        </w:rPr>
        <w:t xml:space="preserve">области в рамках государственной программы</w:t>
      </w:r>
    </w:p>
    <w:p>
      <w:pPr>
        <w:pStyle w:val="0"/>
        <w:jc w:val="right"/>
      </w:pPr>
      <w:r>
        <w:rPr>
          <w:sz w:val="20"/>
        </w:rPr>
        <w:t xml:space="preserve">Воронежской области "Общественное доверие</w:t>
      </w:r>
    </w:p>
    <w:p>
      <w:pPr>
        <w:pStyle w:val="0"/>
        <w:jc w:val="right"/>
      </w:pPr>
      <w:r>
        <w:rPr>
          <w:sz w:val="20"/>
        </w:rPr>
        <w:t xml:space="preserve">и реализация государственной национальной</w:t>
      </w:r>
    </w:p>
    <w:p>
      <w:pPr>
        <w:pStyle w:val="0"/>
        <w:jc w:val="right"/>
      </w:pPr>
      <w:r>
        <w:rPr>
          <w:sz w:val="20"/>
        </w:rPr>
        <w:t xml:space="preserve">политики в Воронежской области"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left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1706"/>
        <w:gridCol w:w="454"/>
        <w:gridCol w:w="1191"/>
        <w:gridCol w:w="511"/>
        <w:gridCol w:w="510"/>
        <w:gridCol w:w="454"/>
        <w:gridCol w:w="1984"/>
        <w:gridCol w:w="1699"/>
      </w:tblGrid>
      <w:tr>
        <w:tblPrEx>
          <w:tblBorders>
            <w:left w:val="nil"/>
            <w:right w:val="nil"/>
            <w:insideH w:val="nil"/>
          </w:tblBorders>
        </w:tblPrEx>
        <w:tc>
          <w:tcPr>
            <w:gridSpan w:val="9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252" w:name="P252"/>
          <w:bookmarkEnd w:id="252"/>
          <w:p>
            <w:pPr>
              <w:pStyle w:val="0"/>
              <w:jc w:val="center"/>
            </w:pPr>
            <w:r>
              <w:rPr>
                <w:sz w:val="20"/>
              </w:rPr>
              <w:t xml:space="preserve">СМЕТА РАСХОДОВ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Ассоциации территориального общественного самоуправления и местных сообществ Воронежской области на 20_____ год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9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gridSpan w:val="3"/>
            <w:tcW w:w="3351" w:type="dxa"/>
            <w:vAlign w:val="center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Направления расходования средств (виды расходов)</w:t>
            </w:r>
          </w:p>
        </w:tc>
        <w:tc>
          <w:tcPr>
            <w:gridSpan w:val="4"/>
            <w:tcW w:w="3459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Запланировано расходов (руб.)</w:t>
            </w:r>
          </w:p>
        </w:tc>
        <w:tc>
          <w:tcPr>
            <w:tcW w:w="1699" w:type="dxa"/>
            <w:vAlign w:val="center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Примечание</w:t>
            </w:r>
          </w:p>
        </w:tc>
      </w:tr>
      <w:tr>
        <w:tc>
          <w:tcPr>
            <w:vMerge w:val="continue"/>
          </w:tcPr>
          <w:p/>
        </w:tc>
        <w:tc>
          <w:tcPr>
            <w:gridSpan w:val="3"/>
            <w:vMerge w:val="continue"/>
          </w:tcPr>
          <w:p/>
        </w:tc>
        <w:tc>
          <w:tcPr>
            <w:gridSpan w:val="3"/>
            <w:tcW w:w="147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 на 20___ год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том числе за счет средств субсидии</w:t>
            </w:r>
          </w:p>
        </w:tc>
        <w:tc>
          <w:tcPr>
            <w:vMerge w:val="continue"/>
          </w:tcPr>
          <w:p/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3"/>
            <w:tcW w:w="33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3"/>
            <w:tcW w:w="14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5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335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ВСЕГО расходов</w:t>
            </w:r>
          </w:p>
        </w:tc>
        <w:tc>
          <w:tcPr>
            <w:gridSpan w:val="3"/>
            <w:tcW w:w="14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3351" w:type="dxa"/>
            <w:vAlign w:val="center"/>
          </w:tcPr>
          <w:p>
            <w:pPr>
              <w:pStyle w:val="0"/>
            </w:pPr>
            <w:r>
              <w:rPr>
                <w:sz w:val="20"/>
                <w:i w:val="on"/>
              </w:rPr>
              <w:t xml:space="preserve">в том числе</w:t>
            </w:r>
          </w:p>
        </w:tc>
        <w:tc>
          <w:tcPr>
            <w:gridSpan w:val="3"/>
            <w:tcW w:w="14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3"/>
            <w:tcW w:w="335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Оплата труда</w:t>
            </w:r>
          </w:p>
        </w:tc>
        <w:tc>
          <w:tcPr>
            <w:gridSpan w:val="3"/>
            <w:tcW w:w="14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3"/>
            <w:tcW w:w="335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Взносы по обязательному социальному страхованию на оплату труда</w:t>
            </w:r>
          </w:p>
        </w:tc>
        <w:tc>
          <w:tcPr>
            <w:gridSpan w:val="3"/>
            <w:tcW w:w="14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gridSpan w:val="3"/>
            <w:tcW w:w="335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Расходы, связанные со служебными командировками</w:t>
            </w:r>
          </w:p>
        </w:tc>
        <w:tc>
          <w:tcPr>
            <w:gridSpan w:val="3"/>
            <w:tcW w:w="14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gridSpan w:val="3"/>
            <w:tcW w:w="335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Закупка товаров, работ, услуг для ведения уставной деятельности, всего</w:t>
            </w:r>
          </w:p>
        </w:tc>
        <w:tc>
          <w:tcPr>
            <w:gridSpan w:val="3"/>
            <w:tcW w:w="14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3351" w:type="dxa"/>
          </w:tcPr>
          <w:p>
            <w:pPr>
              <w:pStyle w:val="0"/>
            </w:pPr>
            <w:r>
              <w:rPr>
                <w:sz w:val="20"/>
                <w:i w:val="on"/>
              </w:rPr>
              <w:t xml:space="preserve">в том числе</w:t>
            </w:r>
          </w:p>
        </w:tc>
        <w:tc>
          <w:tcPr>
            <w:gridSpan w:val="3"/>
            <w:tcW w:w="14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</w:t>
            </w:r>
          </w:p>
        </w:tc>
        <w:tc>
          <w:tcPr>
            <w:gridSpan w:val="3"/>
            <w:tcW w:w="3351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 связи</w:t>
            </w:r>
          </w:p>
        </w:tc>
        <w:tc>
          <w:tcPr>
            <w:gridSpan w:val="3"/>
            <w:tcW w:w="14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</w:t>
            </w:r>
          </w:p>
        </w:tc>
        <w:tc>
          <w:tcPr>
            <w:gridSpan w:val="3"/>
            <w:tcW w:w="3351" w:type="dxa"/>
          </w:tcPr>
          <w:p>
            <w:pPr>
              <w:pStyle w:val="0"/>
            </w:pPr>
            <w:r>
              <w:rPr>
                <w:sz w:val="20"/>
              </w:rPr>
              <w:t xml:space="preserve">коммунальные услуги</w:t>
            </w:r>
          </w:p>
        </w:tc>
        <w:tc>
          <w:tcPr>
            <w:gridSpan w:val="3"/>
            <w:tcW w:w="14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</w:t>
            </w:r>
          </w:p>
        </w:tc>
        <w:tc>
          <w:tcPr>
            <w:gridSpan w:val="3"/>
            <w:tcW w:w="3351" w:type="dxa"/>
          </w:tcPr>
          <w:p>
            <w:pPr>
              <w:pStyle w:val="0"/>
            </w:pPr>
            <w:r>
              <w:rPr>
                <w:sz w:val="20"/>
              </w:rPr>
              <w:t xml:space="preserve">арендная плата за пользование имуществом</w:t>
            </w:r>
          </w:p>
        </w:tc>
        <w:tc>
          <w:tcPr>
            <w:gridSpan w:val="3"/>
            <w:tcW w:w="14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4.4</w:t>
            </w:r>
          </w:p>
        </w:tc>
        <w:tc>
          <w:tcPr>
            <w:gridSpan w:val="3"/>
            <w:tcW w:w="3351" w:type="dxa"/>
          </w:tcPr>
          <w:p>
            <w:pPr>
              <w:pStyle w:val="0"/>
            </w:pPr>
            <w:r>
              <w:rPr>
                <w:sz w:val="20"/>
              </w:rPr>
              <w:t xml:space="preserve">работы, услуги по содержанию имущества</w:t>
            </w:r>
          </w:p>
        </w:tc>
        <w:tc>
          <w:tcPr>
            <w:gridSpan w:val="3"/>
            <w:tcW w:w="14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</w:t>
            </w:r>
          </w:p>
        </w:tc>
        <w:tc>
          <w:tcPr>
            <w:gridSpan w:val="3"/>
            <w:tcW w:w="3351" w:type="dxa"/>
          </w:tcPr>
          <w:p>
            <w:pPr>
              <w:pStyle w:val="0"/>
            </w:pPr>
            <w:r>
              <w:rPr>
                <w:sz w:val="20"/>
              </w:rPr>
              <w:t xml:space="preserve">прочие работы, услуги</w:t>
            </w:r>
          </w:p>
        </w:tc>
        <w:tc>
          <w:tcPr>
            <w:gridSpan w:val="3"/>
            <w:tcW w:w="14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4.6</w:t>
            </w:r>
          </w:p>
        </w:tc>
        <w:tc>
          <w:tcPr>
            <w:gridSpan w:val="3"/>
            <w:tcW w:w="3351" w:type="dxa"/>
          </w:tcPr>
          <w:p>
            <w:pPr>
              <w:pStyle w:val="0"/>
            </w:pPr>
            <w:r>
              <w:rPr>
                <w:sz w:val="20"/>
              </w:rPr>
              <w:t xml:space="preserve">прочие расходы</w:t>
            </w:r>
          </w:p>
        </w:tc>
        <w:tc>
          <w:tcPr>
            <w:gridSpan w:val="3"/>
            <w:tcW w:w="14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4.7</w:t>
            </w:r>
          </w:p>
        </w:tc>
        <w:tc>
          <w:tcPr>
            <w:gridSpan w:val="3"/>
            <w:tcW w:w="3351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стоимости основных средств</w:t>
            </w:r>
          </w:p>
        </w:tc>
        <w:tc>
          <w:tcPr>
            <w:gridSpan w:val="3"/>
            <w:tcW w:w="14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4.8</w:t>
            </w:r>
          </w:p>
        </w:tc>
        <w:tc>
          <w:tcPr>
            <w:gridSpan w:val="3"/>
            <w:tcW w:w="3351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стоимости материальных запасов</w:t>
            </w:r>
          </w:p>
        </w:tc>
        <w:tc>
          <w:tcPr>
            <w:gridSpan w:val="3"/>
            <w:tcW w:w="14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gridSpan w:val="3"/>
            <w:tcW w:w="3351" w:type="dxa"/>
          </w:tcPr>
          <w:p>
            <w:pPr>
              <w:pStyle w:val="0"/>
            </w:pPr>
            <w:r>
              <w:rPr>
                <w:sz w:val="20"/>
              </w:rPr>
              <w:t xml:space="preserve">Уплата налогов, сборов и иных платежей в бюджеты всех уровней</w:t>
            </w:r>
          </w:p>
        </w:tc>
        <w:tc>
          <w:tcPr>
            <w:gridSpan w:val="3"/>
            <w:tcW w:w="14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9"/>
            <w:tcW w:w="907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gridSpan w:val="2"/>
            <w:tcW w:w="2268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Руководитель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70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  <w:i w:val="on"/>
              </w:rPr>
              <w:t xml:space="preserve">____________</w:t>
            </w:r>
          </w:p>
          <w:p>
            <w:pPr>
              <w:pStyle w:val="0"/>
            </w:pPr>
            <w:r>
              <w:rPr>
                <w:sz w:val="20"/>
                <w:i w:val="on"/>
              </w:rPr>
              <w:t xml:space="preserve">(подпись)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4137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i w:val="on"/>
              </w:rPr>
              <w:t xml:space="preserve">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  <w:i w:val="on"/>
              </w:rPr>
              <w:t xml:space="preserve">(расшифровка подписи)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9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gridSpan w:val="2"/>
            <w:tcW w:w="2268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Главный бухгалтер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70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  <w:i w:val="on"/>
              </w:rPr>
              <w:t xml:space="preserve">____________</w:t>
            </w:r>
          </w:p>
          <w:p>
            <w:pPr>
              <w:pStyle w:val="0"/>
            </w:pPr>
            <w:r>
              <w:rPr>
                <w:sz w:val="20"/>
                <w:i w:val="on"/>
              </w:rPr>
              <w:t xml:space="preserve">(подпись)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4137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i w:val="on"/>
              </w:rPr>
              <w:t xml:space="preserve">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  <w:i w:val="on"/>
              </w:rPr>
              <w:t xml:space="preserve">(расшифровка подписи)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9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9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"_____" ______________ 20___ г.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02.06.2025 N 360</w:t>
            <w:br/>
            <w:t>"Об утверждении Порядка предоставления субсидии из обла...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0021&amp;dst=103431" TargetMode = "External"/><Relationship Id="rId9" Type="http://schemas.openxmlformats.org/officeDocument/2006/relationships/hyperlink" Target="https://login.consultant.ru/link/?req=doc&amp;base=LAW&amp;n=490805" TargetMode = "External"/><Relationship Id="rId10" Type="http://schemas.openxmlformats.org/officeDocument/2006/relationships/hyperlink" Target="https://login.consultant.ru/link/?req=doc&amp;base=RLAW181&amp;n=125527" TargetMode = "External"/><Relationship Id="rId11" Type="http://schemas.openxmlformats.org/officeDocument/2006/relationships/hyperlink" Target="https://login.consultant.ru/link/?req=doc&amp;base=RLAW181&amp;n=125527&amp;dst=100011" TargetMode = "External"/><Relationship Id="rId12" Type="http://schemas.openxmlformats.org/officeDocument/2006/relationships/hyperlink" Target="https://login.consultant.ru/link/?req=doc&amp;base=LAW&amp;n=121087&amp;dst=100142" TargetMode = "External"/><Relationship Id="rId13" Type="http://schemas.openxmlformats.org/officeDocument/2006/relationships/hyperlink" Target="https://login.consultant.ru/link/?req=doc&amp;base=LAW&amp;n=503623" TargetMode = "External"/><Relationship Id="rId14" Type="http://schemas.openxmlformats.org/officeDocument/2006/relationships/hyperlink" Target="https://login.consultant.ru/link/?req=doc&amp;base=LAW&amp;n=483130&amp;dst=5769" TargetMode = "External"/><Relationship Id="rId15" Type="http://schemas.openxmlformats.org/officeDocument/2006/relationships/hyperlink" Target="https://login.consultant.ru/link/?req=doc&amp;base=LAW&amp;n=500021&amp;dst=3704" TargetMode = "External"/><Relationship Id="rId16" Type="http://schemas.openxmlformats.org/officeDocument/2006/relationships/hyperlink" Target="https://login.consultant.ru/link/?req=doc&amp;base=LAW&amp;n=500021&amp;dst=3722" TargetMode = "External"/><Relationship Id="rId17" Type="http://schemas.openxmlformats.org/officeDocument/2006/relationships/hyperlink" Target="https://login.consultant.ru/link/?req=doc&amp;base=LAW&amp;n=500021&amp;dst=3704" TargetMode = "External"/><Relationship Id="rId18" Type="http://schemas.openxmlformats.org/officeDocument/2006/relationships/hyperlink" Target="https://login.consultant.ru/link/?req=doc&amp;base=LAW&amp;n=500021&amp;dst=3722" TargetMode = "External"/><Relationship Id="rId19" Type="http://schemas.openxmlformats.org/officeDocument/2006/relationships/hyperlink" Target="https://login.consultant.ru/link/?req=doc&amp;base=LAW&amp;n=149911" TargetMode = "External"/><Relationship Id="rId20" Type="http://schemas.openxmlformats.org/officeDocument/2006/relationships/hyperlink" Target="https://login.consultant.ru/link/?req=doc&amp;base=LAW&amp;n=50619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02.06.2025 N 360
"Об утверждении Порядка предоставления субсидии из областного бюджета на поддержку некоммерческой организации - Ассоциация территориального общественного самоуправления и местных сообществ Воронежской области в рамках государственной программы Воронежской области "Общественное доверие и реализация государственной национальной политики в Воронежской области"</dc:title>
  <dcterms:created xsi:type="dcterms:W3CDTF">2026-01-08T11:38:57Z</dcterms:created>
</cp:coreProperties>
</file>