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03.06.2024 N 362</w:t>
              <w:br/>
              <w:t xml:space="preserve">(ред. от 07.03.2025)</w:t>
              <w:br/>
              <w:t xml:space="preserve">"Об утверждении Порядка предоставления субсидии из областного бюджета на обеспечение деятельности региональному отделению Общероссийского общественно-государственного движения детей и молодежи "Движение первых" Воронежской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 июня 2024 г. N 362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СУБСИДИИ ИЗ ОБЛАСТНОГО</w:t>
      </w:r>
    </w:p>
    <w:p>
      <w:pPr>
        <w:pStyle w:val="2"/>
        <w:jc w:val="center"/>
      </w:pPr>
      <w:r>
        <w:rPr>
          <w:sz w:val="20"/>
        </w:rPr>
        <w:t xml:space="preserve">БЮДЖЕТА НА ОБЕСПЕЧЕНИЕ ДЕЯТЕЛЬНОСТИ РЕГИОНАЛЬНОМУ ОТДЕЛЕНИЮ</w:t>
      </w:r>
    </w:p>
    <w:p>
      <w:pPr>
        <w:pStyle w:val="2"/>
        <w:jc w:val="center"/>
      </w:pPr>
      <w:r>
        <w:rPr>
          <w:sz w:val="20"/>
        </w:rPr>
        <w:t xml:space="preserve">ОБЩЕРОССИЙСКОГО ОБЩЕСТВЕННО-ГОСУДАРСТВЕННОГО ДВИЖЕНИЯ ДЕТЕЙ</w:t>
      </w:r>
    </w:p>
    <w:p>
      <w:pPr>
        <w:pStyle w:val="2"/>
        <w:jc w:val="center"/>
      </w:pPr>
      <w:r>
        <w:rPr>
          <w:sz w:val="20"/>
        </w:rPr>
        <w:t xml:space="preserve">И МОЛОДЕЖИ "ДВИЖЕНИЕ ПЕРВЫХ" ВОРОНЕЖСКОЙ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Воронежской области от 07.03.2025 N 137)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РФ от 25.10.2023 N 1782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 Правительство Воронежской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субсидии из областного бюджета на обеспечение деятельности региональному отделению Общероссийского общественно-государственного движения детей и молодежи "Движение первых" Воронежской области согласно приложению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Губернатора Воронежской области Маслова Д.Н.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03.06.2024 N 362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СУБСИДИИ ИЗ ОБЛАСТНОГО БЮДЖЕТА НА ОБЕСПЕЧЕНИЕ</w:t>
      </w:r>
    </w:p>
    <w:p>
      <w:pPr>
        <w:pStyle w:val="2"/>
        <w:jc w:val="center"/>
      </w:pPr>
      <w:r>
        <w:rPr>
          <w:sz w:val="20"/>
        </w:rPr>
        <w:t xml:space="preserve">ДЕЯТЕЛЬНОСТИ РЕГИОНАЛЬНОМУ ОТДЕЛЕНИЮ ОБЩЕРОССИЙСКОГО</w:t>
      </w:r>
    </w:p>
    <w:p>
      <w:pPr>
        <w:pStyle w:val="2"/>
        <w:jc w:val="center"/>
      </w:pPr>
      <w:r>
        <w:rPr>
          <w:sz w:val="20"/>
        </w:rPr>
        <w:t xml:space="preserve">ОБЩЕСТВЕННО-ГОСУДАРСТВЕННОГО ДВИЖЕНИЯ ДЕТЕЙ И МОЛОДЕЖИ</w:t>
      </w:r>
    </w:p>
    <w:p>
      <w:pPr>
        <w:pStyle w:val="2"/>
        <w:jc w:val="center"/>
      </w:pPr>
      <w:r>
        <w:rPr>
          <w:sz w:val="20"/>
        </w:rPr>
        <w:t xml:space="preserve">"ДВИЖЕНИЕ ПЕРВЫХ" ВОРОНЕЖСКОЙ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Воронежской области от 07.03.2025 N 137)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 о предоставлении субсидии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порядок предоставления субсидии из областного бюджета на обеспечение деятельности региональному отделению Общероссийского общественно-государственного движения детей и молодежи "Движение первых" Воронежской области (далее соответственно - Порядок, субсидия) устанавливает цели, условия и порядок предоставления субсидии из областного бюджета, условия возврата субсидии в случае нарушения условий, установленных при ее предоставлении, требования о проверке главным распорядителем бюджетных средств, предоставившим субсидию, и органом государственного финансового контроля соблюдения условий и порядка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Получатель субсидии - региональное отделение Общероссийского общественно-государственного движения детей и молодежи "Движение первых" Воронежской области (далее - Получатель субсидии).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Исполнительным органом Воронежской области,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год, является управление молодежной политики Воронежской области (далее - Управление).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Целью предоставления субсидии является обеспечение деятельности Получателя субсидии в рамках комплекса процессных мероприятий "Поддержка гражданских и молодежных инициатив" государственной </w:t>
      </w:r>
      <w:hyperlink w:history="0" r:id="rId10" w:tooltip="Постановление Правительства Воронежской обл. от 17.12.2013 N 1102 (ред. от 21.02.2025) &quot;Об утверждении государственной программы Воронежской области &quot;Развитие образования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Воронежской области "Развитие образования", утвержденной постановлением Правительства Воронежской области от 17.12.2013 N 1102.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Способом предоставления субсидии является финансовое обеспечение затрат.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в порядке, установленном Министерством финансов Российской Федерации. Сведения о субсидии направляются Управлением в министерство финансов Воронежской области для предоставления их в Министерство финансов Российской Федерации для размещения на Едином портале.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Условия и порядок предоставления субсидии</w:t>
      </w:r>
    </w:p>
    <w:p>
      <w:pPr>
        <w:pStyle w:val="0"/>
        <w:jc w:val="both"/>
      </w:pPr>
      <w:r>
        <w:rPr>
          <w:sz w:val="20"/>
        </w:rPr>
      </w:r>
    </w:p>
    <w:bookmarkStart w:id="51" w:name="P51"/>
    <w:bookmarkEnd w:id="51"/>
    <w:p>
      <w:pPr>
        <w:pStyle w:val="0"/>
        <w:ind w:firstLine="540"/>
        <w:jc w:val="both"/>
      </w:pPr>
      <w:r>
        <w:rPr>
          <w:sz w:val="20"/>
        </w:rPr>
        <w:t xml:space="preserve">2.1. Направления расходов, источником финансового обеспечения которых является субсидия: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оплата услуг связи (телефония, Интернет);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оплата коммунальных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приобретение материальных запасов (канцтовары, хозяйственные материалы, расходные материалы для оргтехники, питьевая вода);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работы и услуги по содержанию имущества (охранные услуги, уборка снега и мусора, вывоз снега, мусора, твердых бытовых отходов, противопожарные мероприятия, связанные с содержанием имущества, обслуживание противопожарной сигнализации);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оплата расходов по открытию и ведению расчетного счета, осуществление других банковских операций Получателем субсидии;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ремонт и обслуживание основных средств;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аренда транспортных средств.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3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Воронежской области от 07.03.2025 N 137)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Требования к Получателям субсидии: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На дату подачи заявления Получатель субсидии должен соответствовать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является иностранным юридическим лицом, в том числе местом регистрации которого являются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находится в составляемых в рамках реализации полномочий, предусмотренных </w:t>
      </w:r>
      <w:hyperlink w:history="0" r:id="rId14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получает средства из бюджета Воронежской области на основании иных нормативных правовых актов Воронежской области, муниципальных правовых актов на цели, установленные настоящим Порядком;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является иностранным агентом в соответствии с Федеральным </w:t>
      </w:r>
      <w:hyperlink w:history="0" r:id="rId16" w:tooltip="Федеральный закон от 14.07.2022 N 255-ФЗ (ред. от 15.05.2024) &quot;О контроле за деятельностью лиц, находящихся под иностранным влиянием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 Получателя субсидии на едином налоговом счете отсутствует или не превышает размер, определенный </w:t>
      </w:r>
      <w:hyperlink w:history="0" r:id="rId17" w:tooltip="&quot;Налоговый кодекс Российской Федерации (часть первая)&quot; от 31.07.1998 N 146-ФЗ (ред. от 23.03.2024) ------------ Недействующая редакция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 Получателя субсидии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Воронежской областью (за исключением случаев, установленных Правительством Воронежской области);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Получатель субсидии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21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Воронежской области от 07.03.2025 N 137.</w:t>
      </w:r>
    </w:p>
    <w:bookmarkStart w:id="77" w:name="P77"/>
    <w:bookmarkEnd w:id="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Для получения субсидии Получатель субсидии представляет в Управление </w:t>
      </w:r>
      <w:hyperlink w:history="0" w:anchor="P158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по форме согласно приложению к настоящему Порядку. К заявлению прилагаются: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заверенная копия листа записи Единого государственного реестра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заверенная копия свидетельства о постановке на налоговый учет;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заверенная копия устава юридического лица;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копии документов, устанавливающих право пользования занимаемым помещением;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смета расходования средств Получателем субсидии по видам расходов и услуг, указанных в </w:t>
      </w:r>
      <w:hyperlink w:history="0" w:anchor="P51" w:tooltip="2.1. Направления расходов, источником финансового обеспечения которых является субсидия:">
        <w:r>
          <w:rPr>
            <w:sz w:val="20"/>
            <w:color w:val="0000ff"/>
          </w:rPr>
          <w:t xml:space="preserve">пункте 2.1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справка в произвольной форме, содержащая сведения о проделанной Получателем субсидии работе в соответствии с уставной деятельностью.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субсидии вправе предоставить </w:t>
      </w:r>
      <w:hyperlink w:history="0" r:id="rId22" w:tooltip="Приказ ФНС России от 23.11.2022 N ЕД-7-8/1123@ &quot;Об утверждении формы справки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и формата ее представления в электронной форме&quot; (Зарегистрировано в Минюсте России 30.12.2022 N 71932) {КонсультантПлюс}">
        <w:r>
          <w:rPr>
            <w:sz w:val="20"/>
            <w:color w:val="0000ff"/>
          </w:rPr>
          <w:t xml:space="preserve">справку</w:t>
        </w:r>
      </w:hyperlink>
      <w:r>
        <w:rPr>
          <w:sz w:val="20"/>
        </w:rPr>
        <w:t xml:space="preserve">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форме, утвержденной Приказом ФНС России от 23.11.2022 N ЕД-7-8/1123@ "Об утверждении формы справки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и формата ее представления в электронной форме" (зарегистрировано в Минюсте России 30.12.2022 N 71932) (далее - справка).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непредставления справки Управление запрашивает ее самостоятельно посредством единой системы межведомственного электронного взаимодействия.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Получатель субсидии предоставляет документы, указанные в </w:t>
      </w:r>
      <w:hyperlink w:history="0" w:anchor="P77" w:tooltip="2.3. Для получения субсидии Получатель субсидии представляет в Управление заявление по форме согласно приложению к настоящему Порядку. К заявлению прилагаются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настоящего Порядка, не позднее 15 января года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Субсидии предоставляются при одновременном соблюдении следующих условий: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соответствие Получателя субсидии требованиям, предусмотренным </w:t>
      </w:r>
      <w:hyperlink w:history="0" w:anchor="P61" w:tooltip="2.2. Требования к Получателям субсидии:">
        <w:r>
          <w:rPr>
            <w:sz w:val="20"/>
            <w:color w:val="0000ff"/>
          </w:rPr>
          <w:t xml:space="preserve">пунктом 2.2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согласие Получателя субсидии и лиц, являющихся поставщиками (подрядчиками, исполнителями) по договорам (соглашениям), заключенным в целях исполнения обязательств по соглашению о предоставлении субсидии, на осуществление в отношении их проверки Управлением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25" w:tooltip="&quot;Бюджетный кодекс Российской Федерации&quot; от 31.07.1998 N 145-ФЗ (ред. от 26.02.2024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6" w:tooltip="&quot;Бюджетный кодекс Российской Федерации&quot; от 31.07.1998 N 145-ФЗ (ред. от 26.02.2024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запрет приобретения Получателем субсидии, а также иными юридическими лицами, получающими средства на основании договоров, заключенных с Получателем субсидии,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определенных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Управление в день подачи заявления и документов, указанных в </w:t>
      </w:r>
      <w:hyperlink w:history="0" w:anchor="P77" w:tooltip="2.3. Для получения субсидии Получатель субсидии представляет в Управление заявление по форме согласно приложению к настоящему Порядку. К заявлению прилагаются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настоящего Порядка, регистрирует, рассматривает представленные документы и проводит их проверку и в течение 5 рабочих дней с даты регистрации заявления принимает решение о предоставлении субсидии либо об отказе в ее предоставлении. Решение о предоставлении субсидии оформляется приказом Управления.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Проведение проверки на соответствие Получателя субсидии требованиям, предусмотренным </w:t>
      </w:r>
      <w:hyperlink w:history="0" w:anchor="P61" w:tooltip="2.2. Требования к Получателям субсидии:">
        <w:r>
          <w:rPr>
            <w:sz w:val="20"/>
            <w:color w:val="0000ff"/>
          </w:rPr>
          <w:t xml:space="preserve">пунктом 2.2</w:t>
        </w:r>
      </w:hyperlink>
      <w:r>
        <w:rPr>
          <w:sz w:val="20"/>
        </w:rPr>
        <w:t xml:space="preserve"> Порядка, осуществляется путем проведения сравнительного анализа представленных Получателем субсидии документов с информацией, содержащейся в полученной самостоятельно в установленном порядке выписке из Единого государственного реестра юридических лиц, информацией, размещенной на официальном сайте Вестника государственной регистрации в сети "Интернет", а также на основании данных государственных информационных систем, баз данных официальных сайтов уполномоченных органов государственной власти, в том числе с использованием единой системы межведомственного электронного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Основаниями для отказа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несоответствие представленных Получателем субсидии документов требованиям, установленным </w:t>
      </w:r>
      <w:hyperlink w:history="0" w:anchor="P61" w:tooltip="2.2. Требования к Получателям субсидии:">
        <w:r>
          <w:rPr>
            <w:sz w:val="20"/>
            <w:color w:val="0000ff"/>
          </w:rPr>
          <w:t xml:space="preserve">пунктом 2.2</w:t>
        </w:r>
      </w:hyperlink>
      <w:r>
        <w:rPr>
          <w:sz w:val="20"/>
        </w:rPr>
        <w:t xml:space="preserve"> настоящего Порядка,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установление факта недостоверности информации, представленной Получателем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несоответствие Получателя субсидии требованиям, определенным </w:t>
      </w:r>
      <w:hyperlink w:history="0" w:anchor="P61" w:tooltip="2.2. Требования к Получателям субсидии:">
        <w:r>
          <w:rPr>
            <w:sz w:val="20"/>
            <w:color w:val="0000ff"/>
          </w:rPr>
          <w:t xml:space="preserve">пунктом 2.2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В случае принятия положительного решения Управление в течение пяти рабочих дней со дня издания приказа о предоставлении субсидии заключает с Получателем субсидии соглашение о предоставлении субсидии (далее - Соглашение) в соответствии с типовой формой, установленной министерством финансов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уменьшения Управлению ранее доведенных лимитов бюджетных обязательств, приводящего к невозможности предоставления субсидии в размере, определенном в Соглашении, заключается дополнительное соглашение с новыми условиями Соглашения или Соглашение подлежит расторжению в случае недостижения согласия по новым условиям.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 Получателя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Результатом предоставления субсидии является достижение значения мероприятия (результата) "Региональным отделением Общероссийского общественно-государственного движения детей и молодежи "Движение первых" Воронежской области проведены организационные, методические мероприятия (встречи) с местными и первичными отделениями" (тип мероприятия (результата) - иные мероприятия (результаты)) комплекса процессных мероприятий "Поддержка гражданских и молодежных инициатив" государственной </w:t>
      </w:r>
      <w:hyperlink w:history="0" r:id="rId27" w:tooltip="Постановление Правительства Воронежской обл. от 17.12.2013 N 1102 (ред. от 21.02.2025) &quot;Об утверждении государственной программы Воронежской области &quot;Развитие образования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Воронежской области "Развитие образования", утвержденной постановлением Правительства Воронежской области от 17.12.2013 N 1102.".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Значение результата предоставления субсидии устанавливается Управлением в Соглашении на текущий финансовый год.</w:t>
      </w:r>
    </w:p>
    <w:p>
      <w:pPr>
        <w:pStyle w:val="0"/>
        <w:jc w:val="both"/>
      </w:pPr>
      <w:r>
        <w:rPr>
          <w:sz w:val="20"/>
        </w:rPr>
        <w:t xml:space="preserve">(п. 2.11 в ред. </w:t>
      </w:r>
      <w:hyperlink w:history="0" r:id="rId28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Субсидия предоставляется Получателю субсидии в пределах бюджетных ассигнований и лимитов бюджетных обязательств, предусмотренных законом Воронежской области об областном бюджете на соответствующий финансовый год и плановый период.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Определение объема субсидии, предоставляемой Получателю субсидии, осуществляется в соответствии с законом Воронежской области об областном бюджете на соответствующий финансовый год и плановый период. Субсидия предоставляется Получателю субсидии в размере бюджетных ассигнований, предусмотренных законом Воронежской области об областном бюджете на соответствующий финансовый год и плановый период Управлению по коду бюджетной классификации 02 4 10 73840 600 (Предоставление субсидии на обеспечение деятельности регионального отделения Общероссийского общественно-государственного движения детей и молодежи "Движение первых" Воронежской области (Предоставление субсидий бюджетным, автономным учреждениям и иным некоммерческим организациям)).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2.13. Перечисление субсидии осуществляется ежеквартально с лицевого счета, открытого министерством финансов Воронежской области в Управлении Федерального казначейства по Воронежской области, на отдельные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2.14. Субсидия подлежит возврату в доход областного бюджета в случаях и порядке, установленных в </w:t>
      </w:r>
      <w:hyperlink w:history="0" w:anchor="P129" w:tooltip="5. Требования об осуществлении контроля">
        <w:r>
          <w:rPr>
            <w:sz w:val="20"/>
            <w:color w:val="0000ff"/>
          </w:rPr>
          <w:t xml:space="preserve">разделе 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Требования к отчетности</w:t>
      </w:r>
    </w:p>
    <w:p>
      <w:pPr>
        <w:pStyle w:val="0"/>
        <w:jc w:val="both"/>
      </w:pPr>
      <w:r>
        <w:rPr>
          <w:sz w:val="20"/>
        </w:rPr>
      </w:r>
    </w:p>
    <w:bookmarkStart w:id="114" w:name="P114"/>
    <w:bookmarkEnd w:id="114"/>
    <w:p>
      <w:pPr>
        <w:pStyle w:val="0"/>
        <w:ind w:firstLine="540"/>
        <w:jc w:val="both"/>
      </w:pPr>
      <w:r>
        <w:rPr>
          <w:sz w:val="20"/>
        </w:rPr>
        <w:t xml:space="preserve">3.1. Получатель субсидии представляет в Управление: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ежеквартально до 15-го числа месяца, следующего за отчетным кварталом, отчет об осуществлении расходов, источником финансового обеспечения которых является субсидия, по форме, определенной типовой формой соглашения, установленной приказом министерства финансов Воронежской области;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30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ежеквартально до 15-го числа месяца, следующего за отчетным, отчет о достижении значения результата предоставления субсидии по форме, определенной типовой формой соглашения, установленной приказом министерства финансов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Управление в течение 20 рабочих дней со дня поступления отчетов, указанных в </w:t>
      </w:r>
      <w:hyperlink w:history="0" w:anchor="P114" w:tooltip="3.1. Получатель субсидии представляет в Управление:">
        <w:r>
          <w:rPr>
            <w:sz w:val="20"/>
            <w:color w:val="0000ff"/>
          </w:rPr>
          <w:t xml:space="preserve">пункте 3.1</w:t>
        </w:r>
      </w:hyperlink>
      <w:r>
        <w:rPr>
          <w:sz w:val="20"/>
        </w:rPr>
        <w:t xml:space="preserve"> настоящего Порядка, осуществляет их проверку на соответствие требованиям Порядка и Соглашения, по результатам которой: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соответствия отчетов требованиям Порядка и Соглашения - принимает отчеты и направляет Получателю субсидии уведомление о принятии отчетов;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 наличии замечаний к отчетам - возвращает их Получателю субсидии в течение 3 рабочих дней на доработку;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случае неустранения замечаний к отчетам или выявления несоответствия отчетов требованиям Порядка и Соглашения повторно - направляет Получателю субсидии требование об обеспечении возврата субсидии в областной бюджет в размере и сроки, определенные в соответствии с бюджетным законодательством и Порядком.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к проведению мониторинга достижения результата</w:t>
      </w:r>
    </w:p>
    <w:p>
      <w:pPr>
        <w:pStyle w:val="2"/>
        <w:jc w:val="center"/>
      </w:pPr>
      <w:r>
        <w:rPr>
          <w:sz w:val="20"/>
        </w:rPr>
        <w:t xml:space="preserve">предоставления субсидии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Управление проводит мониторинг достижения результата предоставления субсидии, установленного в паспорте комплекса процессных мероприятий "Поддержка гражданских и молодежных инициатив" государственной </w:t>
      </w:r>
      <w:hyperlink w:history="0" r:id="rId31" w:tooltip="Постановление Правительства Воронежской обл. от 17.12.2013 N 1102 (ред. от 21.02.2025) &quot;Об утверждении государственной программы Воронежской области &quot;Развитие образования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Воронежской области "Развитие образования" посредством сравнения установленного Соглашением и фактически достигнутого Получателем субсидии значения результата предоставления субсидии, а также сроков достижения результата предоставления субсидии, установленных Соглашением. Мониторинг осуществляется в порядке и по формам, установленным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jc w:val="both"/>
      </w:pPr>
      <w:r>
        <w:rPr>
          <w:sz w:val="20"/>
        </w:rPr>
      </w:r>
    </w:p>
    <w:bookmarkStart w:id="129" w:name="P129"/>
    <w:bookmarkEnd w:id="129"/>
    <w:p>
      <w:pPr>
        <w:pStyle w:val="2"/>
        <w:outlineLvl w:val="1"/>
        <w:jc w:val="center"/>
      </w:pPr>
      <w:r>
        <w:rPr>
          <w:sz w:val="20"/>
        </w:rPr>
        <w:t xml:space="preserve">5. Требования об осуществлении контроля</w:t>
      </w:r>
    </w:p>
    <w:p>
      <w:pPr>
        <w:pStyle w:val="2"/>
        <w:jc w:val="center"/>
      </w:pPr>
      <w:r>
        <w:rPr>
          <w:sz w:val="20"/>
        </w:rPr>
        <w:t xml:space="preserve">за соблюдением условий и порядка предоставления субсидии</w:t>
      </w:r>
    </w:p>
    <w:p>
      <w:pPr>
        <w:pStyle w:val="2"/>
        <w:jc w:val="center"/>
      </w:pPr>
      <w:r>
        <w:rPr>
          <w:sz w:val="20"/>
        </w:rPr>
        <w:t xml:space="preserve">и ответственности за их нарушение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Управление осуществляет контроль за целевым и эффективным использованием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Ответственность за нецелевое использование предоставленной субсидии, недостоверность сведений, содержащихся в документах, представляемых в Управление, за несоблюдение условий, установленных настоящим Порядком, несет Получатель субсидии в соответствии с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Управление осуществляет проверку соблюдения Получателем субсидии порядка и условий предоставления субсидии, в том числе в части достижения результата предоставления субсидии. Органы государственного финансового контроля осуществляют проверку в соответствии со </w:t>
      </w:r>
      <w:hyperlink w:history="0" r:id="rId33" w:tooltip="&quot;Бюджетный кодекс Российской Федерации&quot; от 31.07.1998 N 145-ФЗ (ред. от 26.02.2024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4" w:tooltip="&quot;Бюджетный кодекс Российской Федерации&quot; от 31.07.1998 N 145-ФЗ (ред. от 26.02.2024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субсидии дает согласие на осуществление Управлением проверки соблюдения Получателем субсидии условий и порядка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в соответствии со </w:t>
      </w:r>
      <w:hyperlink w:history="0" r:id="rId36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7" w:tooltip="&quot;Бюджетный кодекс Российской Федерации&quot; от 31.07.1998 N 145-ФЗ (ред. от 26.12.2024) (с изм. и доп., вступ. в силу с 01.01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38" w:tooltip="Постановление Правительства Воронежской обл. от 07.03.2025 N 137 &quot;О внесении изменений в постановление Правительства Воронежской области от 03.06.2024 N 362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Воронежской области от 07.03.2025 N 137)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При неиспользовании в отчетном финансовом году средств предоставленной субсидии Получатель субсидии перечисляет остатки данных средств в областной бюджет в течение первых 15 рабочих дней года, следующего за отчетным.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В случае нарушения Получателем субсидии условий и порядка предоставления субсидии, выявленного по фактам проверок, проведенных Управлением и (или) уполномоченным органом государственного финансового контроля, недостижения результата предоставления субсидии Управление принимает меры по возврату субсидии в областной бюджет и направляет Получателю субсидии требования о возврате субсидии в течение десяти рабочих дней с даты выявления нарушений, получения отчета о достижении значения результата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Субсидия подлежит возврату Получателем субсидии в областной бюджет в течение 30 календарных дней с момента получения требования.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При невозврате субсидии в установленный срок Управление принимает меры по взысканию подлежащей возврату субсидии в областной бюджет в судебном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5.7. Контроль за целевым использованием субсидии осуществляет Управление.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предоставления субсидии из областного</w:t>
      </w:r>
    </w:p>
    <w:p>
      <w:pPr>
        <w:pStyle w:val="0"/>
        <w:jc w:val="right"/>
      </w:pPr>
      <w:r>
        <w:rPr>
          <w:sz w:val="20"/>
        </w:rPr>
        <w:t xml:space="preserve">бюджета на обеспечение деятельности</w:t>
      </w:r>
    </w:p>
    <w:p>
      <w:pPr>
        <w:pStyle w:val="0"/>
        <w:jc w:val="right"/>
      </w:pPr>
      <w:r>
        <w:rPr>
          <w:sz w:val="20"/>
        </w:rPr>
        <w:t xml:space="preserve">регионального отделения Общероссийского</w:t>
      </w:r>
    </w:p>
    <w:p>
      <w:pPr>
        <w:pStyle w:val="0"/>
        <w:jc w:val="right"/>
      </w:pPr>
      <w:r>
        <w:rPr>
          <w:sz w:val="20"/>
        </w:rPr>
        <w:t xml:space="preserve">общественно-государственного движения</w:t>
      </w:r>
    </w:p>
    <w:p>
      <w:pPr>
        <w:pStyle w:val="0"/>
        <w:jc w:val="right"/>
      </w:pPr>
      <w:r>
        <w:rPr>
          <w:sz w:val="20"/>
        </w:rPr>
        <w:t xml:space="preserve">детей и молодежи "Движение первых"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3576"/>
        <w:gridCol w:w="1512"/>
        <w:gridCol w:w="340"/>
        <w:gridCol w:w="1021"/>
        <w:gridCol w:w="2060"/>
      </w:tblGrid>
      <w:tr>
        <w:tblPrEx>
          <w:tblBorders>
            <w:insideH w:val="nil"/>
          </w:tblBorders>
        </w:tblPrEx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58" w:name="P158"/>
          <w:bookmarkEnd w:id="158"/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О ПРЕДОСТАВЛЕНИИ СУБСИДИИ ИЗ ОБЛАСТНОГО БЮДЖЕТА</w:t>
            </w:r>
          </w:p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НА ОБЕСПЕЧЕНИЕ ДЕЯТЕЛЬНОСТИ РЕГИОНАЛЬНОМУ ОТДЕЛЕНИЮ</w:t>
            </w:r>
          </w:p>
          <w:p>
            <w:pPr>
              <w:pStyle w:val="0"/>
              <w:jc w:val="center"/>
            </w:pPr>
            <w:r>
              <w:rPr>
                <w:sz w:val="20"/>
                <w:b w:val="on"/>
              </w:rPr>
              <w:t xml:space="preserve">ОБЩЕРОССИЙСКОГО ОБЩЕСТВЕННО-ГОСУДАРСТВЕННОГО ДВИЖЕНИЯ ДЕТЕЙ И МОЛОДЕЖИ "ДВИЖЕНИЕ ПЕРВЫХ" ВОРОНЕЖСКОЙ ОБЛАСТИ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 </w:t>
            </w:r>
            <w:hyperlink w:history="0" w:anchor="P31" w:tooltip="ПОРЯДОК">
              <w:r>
                <w:rPr>
                  <w:sz w:val="20"/>
                  <w:color w:val="0000ff"/>
                </w:rPr>
                <w:t xml:space="preserve">Порядком</w:t>
              </w:r>
            </w:hyperlink>
            <w:r>
              <w:rPr>
                <w:sz w:val="20"/>
              </w:rPr>
              <w:t xml:space="preserve"> предоставления субсидии из областного бюджета на обеспечение деятельности региональному отделению Общероссийского общественно-государственного движения детей и молодежи "Движение первых" Воронежской области (далее - Порядок) прошу предоставить субсидию в размере _________________ (_________________________________________________) рублей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(прописью)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 следующим реквизитам: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1. ИНН 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Наименование банка 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Р/с, корр. счет 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4. БИК 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5. Индекс 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6. Юридический адрес 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7. Ф.И.О. (полностью) исполнителя 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8. Контактный телефон (с указанием кода) 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9. Способ получения уведомления о принятом решении:</w:t>
            </w:r>
          </w:p>
          <w:p>
            <w:pPr>
              <w:pStyle w:val="0"/>
              <w:ind w:firstLine="283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- на адрес электронной почты (адрес почты) 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- по телефону (телефон/факс) 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position w:val="-8"/>
              </w:rPr>
              <w:drawing>
                <wp:inline distT="0" distB="0" distL="0" distR="0">
                  <wp:extent cx="18097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- иным способом 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(указать способ)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Подтверждаю, что 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Получателя субсидии)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соответствует требованиям, установленным </w:t>
            </w:r>
            <w:hyperlink w:history="0" w:anchor="P61" w:tooltip="2.2. Требования к Получателям субсидии:">
              <w:r>
                <w:rPr>
                  <w:sz w:val="20"/>
                  <w:color w:val="0000ff"/>
                </w:rPr>
                <w:t xml:space="preserve">пунктом 2.2</w:t>
              </w:r>
            </w:hyperlink>
            <w:r>
              <w:rPr>
                <w:sz w:val="20"/>
              </w:rPr>
              <w:t xml:space="preserve"> Порядка.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Даю согласие на осуществление в отношении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(полное наименование Получателя субсидии)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управлением молодежной политики Воронежской области проверки соблюдения условий и порядка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осуществляют проверку в соответствии со </w:t>
            </w:r>
            <w:hyperlink w:history="0" r:id="rId40" w:tooltip="&quot;Бюджетный кодекс Российской Федерации&quot; от 31.07.1998 N 145-ФЗ (ред. от 26.02.2024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статьями 268.1</w:t>
              </w:r>
            </w:hyperlink>
            <w:r>
              <w:rPr>
                <w:sz w:val="20"/>
              </w:rPr>
              <w:t xml:space="preserve"> и </w:t>
            </w:r>
            <w:hyperlink w:history="0" r:id="rId41" w:tooltip="&quot;Бюджетный кодекс Российской Федерации&quot; от 31.07.1998 N 145-ФЗ (ред. от 26.02.2024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269.2</w:t>
              </w:r>
            </w:hyperlink>
            <w:r>
              <w:rPr>
                <w:sz w:val="20"/>
              </w:rPr>
              <w:t xml:space="preserve"> Бюджетного кодекса Российской Федерации.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Опись прилагаемых документов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4"/>
            <w:tcW w:w="644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документа</w:t>
            </w:r>
          </w:p>
        </w:tc>
        <w:tc>
          <w:tcPr>
            <w:tcW w:w="20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листов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4"/>
            <w:tcW w:w="644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4"/>
            <w:tcW w:w="644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gridSpan w:val="4"/>
            <w:tcW w:w="644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5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...</w:t>
            </w:r>
          </w:p>
        </w:tc>
        <w:tc>
          <w:tcPr>
            <w:gridSpan w:val="4"/>
            <w:tcW w:w="644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gridSpan w:val="5"/>
            <w:tcW w:w="701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20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2"/>
            <w:tcW w:w="4138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Получателя субсидии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308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2"/>
            <w:tcBorders>
              <w:top w:val="nil"/>
              <w:bottom w:val="nil"/>
            </w:tcBorders>
            <w:vMerge w:val="continue"/>
          </w:tcPr>
          <w:p/>
        </w:tc>
        <w:tc>
          <w:tcPr>
            <w:tcW w:w="1512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Borders>
              <w:top w:val="nil"/>
              <w:bottom w:val="nil"/>
            </w:tcBorders>
            <w:vMerge w:val="continue"/>
          </w:tcPr>
          <w:p/>
        </w:tc>
        <w:tc>
          <w:tcPr>
            <w:gridSpan w:val="2"/>
            <w:tcW w:w="3081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(расшифровка подписи)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"_____" _________________ 20___ г.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6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МП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(при наличии)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03.06.2024 N 362</w:t>
            <w:br/>
            <w:t>(ред. от 07.03.2025)</w:t>
            <w:br/>
            <w:t>"Об утверждении Порядка предоставл...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1&amp;n=129446&amp;dst=100005" TargetMode = "External"/>
	<Relationship Id="rId8" Type="http://schemas.openxmlformats.org/officeDocument/2006/relationships/hyperlink" Target="https://login.consultant.ru/link/?req=doc&amp;base=LAW&amp;n=461663" TargetMode = "External"/>
	<Relationship Id="rId9" Type="http://schemas.openxmlformats.org/officeDocument/2006/relationships/hyperlink" Target="https://login.consultant.ru/link/?req=doc&amp;base=RLAW181&amp;n=129446&amp;dst=100006" TargetMode = "External"/>
	<Relationship Id="rId10" Type="http://schemas.openxmlformats.org/officeDocument/2006/relationships/hyperlink" Target="https://login.consultant.ru/link/?req=doc&amp;base=RLAW181&amp;n=129266&amp;dst=2" TargetMode = "External"/>
	<Relationship Id="rId11" Type="http://schemas.openxmlformats.org/officeDocument/2006/relationships/hyperlink" Target="https://login.consultant.ru/link/?req=doc&amp;base=RLAW181&amp;n=129446&amp;dst=100007" TargetMode = "External"/>
	<Relationship Id="rId12" Type="http://schemas.openxmlformats.org/officeDocument/2006/relationships/hyperlink" Target="https://login.consultant.ru/link/?req=doc&amp;base=RLAW181&amp;n=129446&amp;dst=100009" TargetMode = "External"/>
	<Relationship Id="rId13" Type="http://schemas.openxmlformats.org/officeDocument/2006/relationships/hyperlink" Target="https://login.consultant.ru/link/?req=doc&amp;base=RLAW181&amp;n=129446&amp;dst=100010" TargetMode = "External"/>
	<Relationship Id="rId14" Type="http://schemas.openxmlformats.org/officeDocument/2006/relationships/hyperlink" Target="https://login.consultant.ru/link/?req=doc&amp;base=LAW&amp;n=121087&amp;dst=100142" TargetMode = "External"/>
	<Relationship Id="rId15" Type="http://schemas.openxmlformats.org/officeDocument/2006/relationships/hyperlink" Target="https://login.consultant.ru/link/?req=doc&amp;base=RLAW181&amp;n=129446&amp;dst=100013" TargetMode = "External"/>
	<Relationship Id="rId16" Type="http://schemas.openxmlformats.org/officeDocument/2006/relationships/hyperlink" Target="https://login.consultant.ru/link/?req=doc&amp;base=LAW&amp;n=476448" TargetMode = "External"/>
	<Relationship Id="rId17" Type="http://schemas.openxmlformats.org/officeDocument/2006/relationships/hyperlink" Target="https://login.consultant.ru/link/?req=doc&amp;base=LAW&amp;n=472841&amp;dst=5769" TargetMode = "External"/>
	<Relationship Id="rId18" Type="http://schemas.openxmlformats.org/officeDocument/2006/relationships/hyperlink" Target="https://login.consultant.ru/link/?req=doc&amp;base=RLAW181&amp;n=129446&amp;dst=100015" TargetMode = "External"/>
	<Relationship Id="rId19" Type="http://schemas.openxmlformats.org/officeDocument/2006/relationships/hyperlink" Target="https://login.consultant.ru/link/?req=doc&amp;base=RLAW181&amp;n=129446&amp;dst=100017" TargetMode = "External"/>
	<Relationship Id="rId20" Type="http://schemas.openxmlformats.org/officeDocument/2006/relationships/hyperlink" Target="https://login.consultant.ru/link/?req=doc&amp;base=RLAW181&amp;n=129446&amp;dst=100020" TargetMode = "External"/>
	<Relationship Id="rId21" Type="http://schemas.openxmlformats.org/officeDocument/2006/relationships/hyperlink" Target="https://login.consultant.ru/link/?req=doc&amp;base=RLAW181&amp;n=129446&amp;dst=100022" TargetMode = "External"/>
	<Relationship Id="rId22" Type="http://schemas.openxmlformats.org/officeDocument/2006/relationships/hyperlink" Target="https://login.consultant.ru/link/?req=doc&amp;base=LAW&amp;n=436518&amp;dst=100016" TargetMode = "External"/>
	<Relationship Id="rId23" Type="http://schemas.openxmlformats.org/officeDocument/2006/relationships/hyperlink" Target="https://login.consultant.ru/link/?req=doc&amp;base=RLAW181&amp;n=129446&amp;dst=100024" TargetMode = "External"/>
	<Relationship Id="rId24" Type="http://schemas.openxmlformats.org/officeDocument/2006/relationships/hyperlink" Target="https://login.consultant.ru/link/?req=doc&amp;base=RLAW181&amp;n=129446&amp;dst=100026" TargetMode = "External"/>
	<Relationship Id="rId25" Type="http://schemas.openxmlformats.org/officeDocument/2006/relationships/hyperlink" Target="https://login.consultant.ru/link/?req=doc&amp;base=LAW&amp;n=470713&amp;dst=3704" TargetMode = "External"/>
	<Relationship Id="rId26" Type="http://schemas.openxmlformats.org/officeDocument/2006/relationships/hyperlink" Target="https://login.consultant.ru/link/?req=doc&amp;base=LAW&amp;n=470713&amp;dst=3722" TargetMode = "External"/>
	<Relationship Id="rId27" Type="http://schemas.openxmlformats.org/officeDocument/2006/relationships/hyperlink" Target="https://login.consultant.ru/link/?req=doc&amp;base=RLAW181&amp;n=129266&amp;dst=2" TargetMode = "External"/>
	<Relationship Id="rId28" Type="http://schemas.openxmlformats.org/officeDocument/2006/relationships/hyperlink" Target="https://login.consultant.ru/link/?req=doc&amp;base=RLAW181&amp;n=129446&amp;dst=100028" TargetMode = "External"/>
	<Relationship Id="rId29" Type="http://schemas.openxmlformats.org/officeDocument/2006/relationships/hyperlink" Target="https://login.consultant.ru/link/?req=doc&amp;base=RLAW181&amp;n=129446&amp;dst=100031" TargetMode = "External"/>
	<Relationship Id="rId30" Type="http://schemas.openxmlformats.org/officeDocument/2006/relationships/hyperlink" Target="https://login.consultant.ru/link/?req=doc&amp;base=RLAW181&amp;n=129446&amp;dst=100032" TargetMode = "External"/>
	<Relationship Id="rId31" Type="http://schemas.openxmlformats.org/officeDocument/2006/relationships/hyperlink" Target="https://login.consultant.ru/link/?req=doc&amp;base=RLAW181&amp;n=129266&amp;dst=2" TargetMode = "External"/>
	<Relationship Id="rId32" Type="http://schemas.openxmlformats.org/officeDocument/2006/relationships/hyperlink" Target="https://login.consultant.ru/link/?req=doc&amp;base=RLAW181&amp;n=129446&amp;dst=100034" TargetMode = "External"/>
	<Relationship Id="rId33" Type="http://schemas.openxmlformats.org/officeDocument/2006/relationships/hyperlink" Target="https://login.consultant.ru/link/?req=doc&amp;base=LAW&amp;n=470713&amp;dst=3704" TargetMode = "External"/>
	<Relationship Id="rId34" Type="http://schemas.openxmlformats.org/officeDocument/2006/relationships/hyperlink" Target="https://login.consultant.ru/link/?req=doc&amp;base=LAW&amp;n=470713&amp;dst=3722" TargetMode = "External"/>
	<Relationship Id="rId35" Type="http://schemas.openxmlformats.org/officeDocument/2006/relationships/hyperlink" Target="https://login.consultant.ru/link/?req=doc&amp;base=RLAW181&amp;n=129446&amp;dst=100036" TargetMode = "External"/>
	<Relationship Id="rId36" Type="http://schemas.openxmlformats.org/officeDocument/2006/relationships/hyperlink" Target="https://login.consultant.ru/link/?req=doc&amp;base=LAW&amp;n=466790&amp;dst=3704" TargetMode = "External"/>
	<Relationship Id="rId37" Type="http://schemas.openxmlformats.org/officeDocument/2006/relationships/hyperlink" Target="https://login.consultant.ru/link/?req=doc&amp;base=LAW&amp;n=466790&amp;dst=3722" TargetMode = "External"/>
	<Relationship Id="rId38" Type="http://schemas.openxmlformats.org/officeDocument/2006/relationships/hyperlink" Target="https://login.consultant.ru/link/?req=doc&amp;base=RLAW181&amp;n=129446&amp;dst=100037" TargetMode = "External"/>
	<Relationship Id="rId39" Type="http://schemas.openxmlformats.org/officeDocument/2006/relationships/image" Target="media/image2.wmf"/>
	<Relationship Id="rId40" Type="http://schemas.openxmlformats.org/officeDocument/2006/relationships/hyperlink" Target="https://login.consultant.ru/link/?req=doc&amp;base=LAW&amp;n=470713&amp;dst=3704" TargetMode = "External"/>
	<Relationship Id="rId41" Type="http://schemas.openxmlformats.org/officeDocument/2006/relationships/hyperlink" Target="https://login.consultant.ru/link/?req=doc&amp;base=LAW&amp;n=470713&amp;dst=372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03.06.2024 N 362
(ред. от 07.03.2025)
"Об утверждении Порядка предоставления субсидии из областного бюджета на обеспечение деятельности региональному отделению Общероссийского общественно-государственного движения детей и молодежи "Движение первых" Воронежской области"</dc:title>
  <dcterms:created xsi:type="dcterms:W3CDTF">2025-05-24T06:50:57Z</dcterms:created>
</cp:coreProperties>
</file>