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Воронежской обл. от 10.06.2022 N 406</w:t>
              <w:br/>
              <w:t xml:space="preserve">"Об утверждении Порядка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2022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ВОРОНЕЖСКОЙ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10 июня 2022 г. N 406</w:t>
      </w:r>
    </w:p>
    <w:p>
      <w:pPr>
        <w:pStyle w:val="2"/>
        <w:jc w:val="both"/>
      </w:pPr>
      <w:r>
        <w:rPr>
          <w:sz w:val="20"/>
        </w:rPr>
      </w:r>
    </w:p>
    <w:p>
      <w:pPr>
        <w:pStyle w:val="2"/>
        <w:jc w:val="center"/>
      </w:pPr>
      <w:r>
        <w:rPr>
          <w:sz w:val="20"/>
        </w:rPr>
        <w:t xml:space="preserve">ОБ УТВЕРЖДЕНИИ ПОРЯДКА ПРЕДОСТАВЛЕНИЯ ГРАНТА</w:t>
      </w:r>
    </w:p>
    <w:p>
      <w:pPr>
        <w:pStyle w:val="2"/>
        <w:jc w:val="center"/>
      </w:pPr>
      <w:r>
        <w:rPr>
          <w:sz w:val="20"/>
        </w:rPr>
        <w:t xml:space="preserve">В ФОРМЕ СУБСИДИИ НА РАЗВИТИЕ ДЕЯТЕЛЬНОСТИ НЕГОСУДАРСТВЕННЫХ</w:t>
      </w:r>
    </w:p>
    <w:p>
      <w:pPr>
        <w:pStyle w:val="2"/>
        <w:jc w:val="center"/>
      </w:pPr>
      <w:r>
        <w:rPr>
          <w:sz w:val="20"/>
        </w:rPr>
        <w:t xml:space="preserve">ОРГАНИЗАЦИЙ В СФЕРЕ ТЕАТРАЛЬНОГО ИСКУССТВА</w:t>
      </w:r>
    </w:p>
    <w:p>
      <w:pPr>
        <w:pStyle w:val="2"/>
        <w:jc w:val="center"/>
      </w:pPr>
      <w:r>
        <w:rPr>
          <w:sz w:val="20"/>
        </w:rPr>
        <w:t xml:space="preserve">ВОРОНЕЖСКОЙ ОБЛАСТИ В 2022 ГОДУ</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Постановлениями Правительства Российской Федерации от 18.09.2020 </w:t>
      </w:r>
      <w:hyperlink w:history="0" r:id="rId8" w:tooltip="Постановление Правительства РФ от 18.09.2020 N 1492 (ред. от 05.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05.04.2022 </w:t>
      </w:r>
      <w:hyperlink w:history="0" r:id="rId9"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N 590</w:t>
        </w:r>
      </w:hyperlink>
      <w:r>
        <w:rPr>
          <w:sz w:val="20"/>
        </w:rPr>
        <w:t xml:space="preserve">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и на основании </w:t>
      </w:r>
      <w:hyperlink w:history="0" r:id="rId10" w:tooltip="Постановление Правительства Воронежской обл. от 18.12.2013 N 1119 (ред. от 10.11.2022) &quot;Об утверждении государственной программы Воронежской области &quot;Развитие культуры и туризма&quot; {КонсультантПлюс}">
        <w:r>
          <w:rPr>
            <w:sz w:val="20"/>
            <w:color w:val="0000ff"/>
          </w:rPr>
          <w:t xml:space="preserve">постановления</w:t>
        </w:r>
      </w:hyperlink>
      <w:r>
        <w:rPr>
          <w:sz w:val="20"/>
        </w:rPr>
        <w:t xml:space="preserve"> правительства Воронежской области от 18.12.2013 N 1119 "Об утверждении государственной программы Воронежской области "Развитие культуры и туризма" правительство Воронежской области постановляет:</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2022 году согласно приложению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Воронежской области Мосолова О.Н.</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А.В.ГУСЕВ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10.06.2022 N 406</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ПРЕДОСТАВЛЕНИЯ ГРАНТА В ФОРМЕ СУБСИДИИ НА РАЗВИТИЕ</w:t>
      </w:r>
    </w:p>
    <w:p>
      <w:pPr>
        <w:pStyle w:val="2"/>
        <w:jc w:val="center"/>
      </w:pPr>
      <w:r>
        <w:rPr>
          <w:sz w:val="20"/>
        </w:rPr>
        <w:t xml:space="preserve">ДЕЯТЕЛЬНОСТИ НЕГОСУДАРСТВЕННЫХ ОРГАНИЗАЦИЙ В СФЕРЕ</w:t>
      </w:r>
    </w:p>
    <w:p>
      <w:pPr>
        <w:pStyle w:val="2"/>
        <w:jc w:val="center"/>
      </w:pPr>
      <w:r>
        <w:rPr>
          <w:sz w:val="20"/>
        </w:rPr>
        <w:t xml:space="preserve">ТЕАТРАЛЬНОГО ИСКУССТВА ВОРОНЕЖСКОЙ ОБЛАСТИ В 2022 ГОДУ</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2022 году (далее - Порядок) устанавливает общие положения о предоставлении гранта в форме субсидии (далее - грант), порядок проведения отбора получателя гранта для его предоставления, требования об осуществлении контроля (мониторинга) за соблюдением условий и порядка предоставления гранта, а также ответственности за их нарушение.</w:t>
      </w:r>
    </w:p>
    <w:bookmarkStart w:id="37" w:name="P37"/>
    <w:bookmarkEnd w:id="37"/>
    <w:p>
      <w:pPr>
        <w:pStyle w:val="0"/>
        <w:spacing w:before="200" w:line-rule="auto"/>
        <w:ind w:firstLine="540"/>
        <w:jc w:val="both"/>
      </w:pPr>
      <w:r>
        <w:rPr>
          <w:sz w:val="20"/>
        </w:rPr>
        <w:t xml:space="preserve">1.2. Целью предоставления гранта является финансовое обеспечение затрат некоммерческой организации, осуществляющей деятельность в сфере театрального искусства на территории Воронежской области (далее - некоммерческая организация, участник конкурса), на реализацию творческого проекта по направлению, указанному в </w:t>
      </w:r>
      <w:hyperlink w:history="0" w:anchor="P151" w:tooltip="1) творческий проект в сфере театрального искусства планируется к реализации на территории Воронежской области по следующему направлению: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
        <w:r>
          <w:rPr>
            <w:sz w:val="20"/>
            <w:color w:val="0000ff"/>
          </w:rPr>
          <w:t xml:space="preserve">подпункте 1 пункта 3.3</w:t>
        </w:r>
      </w:hyperlink>
      <w:r>
        <w:rPr>
          <w:sz w:val="20"/>
        </w:rPr>
        <w:t xml:space="preserve"> настоящего Порядка (далее - творческий проект), разработанного некоммерческой организацией, в рамках реализации основного мероприятия 1.4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 подпрограммы 1 "Искусство и наследие" государственной </w:t>
      </w:r>
      <w:hyperlink w:history="0" r:id="rId11" w:tooltip="Постановление Правительства Воронежской обл. от 18.12.2013 N 1119 (ред. от 10.11.2022) &quot;Об утверждении государственной программы Воронежской области &quot;Развитие культуры и туризма&quot; {КонсультантПлюс}">
        <w:r>
          <w:rPr>
            <w:sz w:val="20"/>
            <w:color w:val="0000ff"/>
          </w:rPr>
          <w:t xml:space="preserve">программы</w:t>
        </w:r>
      </w:hyperlink>
      <w:r>
        <w:rPr>
          <w:sz w:val="20"/>
        </w:rPr>
        <w:t xml:space="preserve"> Воронежской области "Развитие культуры и туризма", утвержденной постановлением правительства Воронежской области от 18.12.2013 N 1119.</w:t>
      </w:r>
    </w:p>
    <w:p>
      <w:pPr>
        <w:pStyle w:val="0"/>
        <w:spacing w:before="200" w:line-rule="auto"/>
        <w:ind w:firstLine="540"/>
        <w:jc w:val="both"/>
      </w:pPr>
      <w:r>
        <w:rPr>
          <w:sz w:val="20"/>
        </w:rPr>
        <w:t xml:space="preserve">1.3. Органом государственной власти Воронежской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является департамент культуры Воронежской области (далее - Департамент).</w:t>
      </w:r>
    </w:p>
    <w:p>
      <w:pPr>
        <w:pStyle w:val="0"/>
        <w:spacing w:before="200" w:line-rule="auto"/>
        <w:ind w:firstLine="540"/>
        <w:jc w:val="both"/>
      </w:pPr>
      <w:r>
        <w:rPr>
          <w:sz w:val="20"/>
        </w:rPr>
        <w:t xml:space="preserve">Предоставление гранта осуществляется в соответствии со сводной бюджетной росписью в пределах бюджетных ассигнований, предусмотренных законом Воронежской области об областном бюджете на соответствующий финансовый год и на плановый период.</w:t>
      </w:r>
    </w:p>
    <w:bookmarkStart w:id="40" w:name="P40"/>
    <w:bookmarkEnd w:id="40"/>
    <w:p>
      <w:pPr>
        <w:pStyle w:val="0"/>
        <w:spacing w:before="200" w:line-rule="auto"/>
        <w:ind w:firstLine="540"/>
        <w:jc w:val="both"/>
      </w:pPr>
      <w:r>
        <w:rPr>
          <w:sz w:val="20"/>
        </w:rPr>
        <w:t xml:space="preserve">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w:t>
      </w:r>
    </w:p>
    <w:p>
      <w:pPr>
        <w:pStyle w:val="0"/>
        <w:spacing w:before="200" w:line-rule="auto"/>
        <w:ind w:firstLine="540"/>
        <w:jc w:val="both"/>
      </w:pPr>
      <w:r>
        <w:rPr>
          <w:sz w:val="20"/>
        </w:rPr>
        <w:t xml:space="preserve">1) некоммерческая организация не является государственным или муниципальным учреждением;</w:t>
      </w:r>
    </w:p>
    <w:p>
      <w:pPr>
        <w:pStyle w:val="0"/>
        <w:spacing w:before="200" w:line-rule="auto"/>
        <w:ind w:firstLine="540"/>
        <w:jc w:val="both"/>
      </w:pPr>
      <w:r>
        <w:rPr>
          <w:sz w:val="20"/>
        </w:rPr>
        <w:t xml:space="preserve">2) некоммерческая организация зарегистрирована в установленном федеральным законодательством порядке на территории Воронежской области и осуществляет в соответствии со своими учредительными документами в качестве основного или дополнительного вида деятельности деятельность в области исполнительских искусств;</w:t>
      </w:r>
    </w:p>
    <w:p>
      <w:pPr>
        <w:pStyle w:val="0"/>
        <w:spacing w:before="200" w:line-rule="auto"/>
        <w:ind w:firstLine="540"/>
        <w:jc w:val="both"/>
      </w:pPr>
      <w:r>
        <w:rPr>
          <w:sz w:val="20"/>
        </w:rPr>
        <w:t xml:space="preserve">3) некоммерческая организация имеет на праве собственности либо на основании договора аренды (безвозмездного пользования) недвижимое имущество с наличием сценической площадки и зрительного зала свыше 300 мест;</w:t>
      </w:r>
    </w:p>
    <w:p>
      <w:pPr>
        <w:pStyle w:val="0"/>
        <w:spacing w:before="200" w:line-rule="auto"/>
        <w:ind w:firstLine="540"/>
        <w:jc w:val="both"/>
      </w:pPr>
      <w:r>
        <w:rPr>
          <w:sz w:val="20"/>
        </w:rPr>
        <w:t xml:space="preserve">4) на 1-е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а)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w:t>
      </w:r>
    </w:p>
    <w:p>
      <w:pPr>
        <w:pStyle w:val="0"/>
        <w:spacing w:before="200" w:line-rule="auto"/>
        <w:ind w:firstLine="540"/>
        <w:jc w:val="both"/>
      </w:pPr>
      <w:r>
        <w:rPr>
          <w:sz w:val="20"/>
        </w:rPr>
        <w:t xml:space="preserve">б)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pPr>
        <w:pStyle w:val="0"/>
        <w:spacing w:before="200" w:line-rule="auto"/>
        <w:ind w:firstLine="540"/>
        <w:jc w:val="both"/>
      </w:pPr>
      <w:r>
        <w:rPr>
          <w:sz w:val="20"/>
        </w:rPr>
        <w:t xml:space="preserve">г) у некоммерческой организации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pPr>
        <w:pStyle w:val="0"/>
        <w:spacing w:before="200" w:line-rule="auto"/>
        <w:ind w:firstLine="540"/>
        <w:jc w:val="both"/>
      </w:pPr>
      <w:r>
        <w:rPr>
          <w:sz w:val="20"/>
        </w:rPr>
        <w:t xml:space="preserve">д) 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е) некоммерческая организация не должна получать средства из бюджета Воронежской области на основании иных нормативных правовых актов Воронежской области на цель, установленную </w:t>
      </w:r>
      <w:hyperlink w:history="0" w:anchor="P37" w:tooltip="1.2. Целью предоставления гранта является финансовое обеспечение затрат некоммерческой организации, осуществляющей деятельность в сфере театрального искусства на территории Воронежской области (далее - некоммерческая организация, участник конкурса), на реализацию творческого проекта по направлению, указанному в подпункте 1 пункта 3.3 настоящего Порядка (далее - творческий проект), разработанного некоммерческой организацией, в рамках реализации основного мероприятия 1.4 &quot;Поддержка творческих инициатив нас...">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ж) некоммерческая организация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1.5. Способом проведения отбора некоммерческих организаций для предоставления гранта является конкурс.</w:t>
      </w:r>
    </w:p>
    <w:p>
      <w:pPr>
        <w:pStyle w:val="0"/>
        <w:spacing w:before="200" w:line-rule="auto"/>
        <w:ind w:firstLine="540"/>
        <w:jc w:val="both"/>
      </w:pPr>
      <w:r>
        <w:rPr>
          <w:sz w:val="20"/>
        </w:rPr>
        <w:t xml:space="preserve">1.6. Информация о гранте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pPr>
        <w:pStyle w:val="0"/>
        <w:spacing w:before="200" w:line-rule="auto"/>
        <w:ind w:firstLine="540"/>
        <w:jc w:val="both"/>
      </w:pPr>
      <w:r>
        <w:rPr>
          <w:sz w:val="20"/>
        </w:rPr>
        <w:t xml:space="preserve">Департамент направляет в департамент финансов Воронежской области сведения о гранте для предоставления их в Министерство финансов Российской Федерации для размещения на едином портале.</w:t>
      </w:r>
    </w:p>
    <w:p>
      <w:pPr>
        <w:pStyle w:val="0"/>
        <w:jc w:val="both"/>
      </w:pPr>
      <w:r>
        <w:rPr>
          <w:sz w:val="20"/>
        </w:rPr>
      </w:r>
    </w:p>
    <w:p>
      <w:pPr>
        <w:pStyle w:val="2"/>
        <w:outlineLvl w:val="1"/>
        <w:jc w:val="center"/>
      </w:pPr>
      <w:r>
        <w:rPr>
          <w:sz w:val="20"/>
        </w:rPr>
        <w:t xml:space="preserve">2. Порядок проведения отбора получателей гранта</w:t>
      </w:r>
    </w:p>
    <w:p>
      <w:pPr>
        <w:pStyle w:val="2"/>
        <w:jc w:val="center"/>
      </w:pPr>
      <w:r>
        <w:rPr>
          <w:sz w:val="20"/>
        </w:rPr>
        <w:t xml:space="preserve">для предоставления гранта</w:t>
      </w:r>
    </w:p>
    <w:p>
      <w:pPr>
        <w:pStyle w:val="0"/>
        <w:jc w:val="both"/>
      </w:pPr>
      <w:r>
        <w:rPr>
          <w:sz w:val="20"/>
        </w:rPr>
      </w:r>
    </w:p>
    <w:p>
      <w:pPr>
        <w:pStyle w:val="0"/>
        <w:ind w:firstLine="540"/>
        <w:jc w:val="both"/>
      </w:pPr>
      <w:r>
        <w:rPr>
          <w:sz w:val="20"/>
        </w:rPr>
        <w:t xml:space="preserve">2.1. Объявление о проведении конкурса размещается Департаментом в информационной системе "Портал Воронежской области в сети Интернет" (</w:t>
      </w:r>
      <w:r>
        <w:rPr>
          <w:sz w:val="20"/>
        </w:rPr>
        <w:t xml:space="preserve">https://www.govvrn.ru</w:t>
      </w:r>
      <w:r>
        <w:rPr>
          <w:sz w:val="20"/>
        </w:rPr>
        <w:t xml:space="preserve">) на странице Департамента (далее - сайт Департамента) в срок не менее чем за два рабочих дня до дня начала приема заявок на участие в конкурсе с указанием:</w:t>
      </w:r>
    </w:p>
    <w:p>
      <w:pPr>
        <w:pStyle w:val="0"/>
        <w:spacing w:before="200" w:line-rule="auto"/>
        <w:ind w:firstLine="540"/>
        <w:jc w:val="both"/>
      </w:pPr>
      <w:r>
        <w:rPr>
          <w:sz w:val="20"/>
        </w:rPr>
        <w:t xml:space="preserve">- сроков проведения конкурса (дата и время начала (окончания) приема заявок на участие в конкурсе), которые составляют 10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Департамента;</w:t>
      </w:r>
    </w:p>
    <w:p>
      <w:pPr>
        <w:pStyle w:val="0"/>
        <w:spacing w:before="200" w:line-rule="auto"/>
        <w:ind w:firstLine="540"/>
        <w:jc w:val="both"/>
      </w:pPr>
      <w:r>
        <w:rPr>
          <w:sz w:val="20"/>
        </w:rPr>
        <w:t xml:space="preserve">- результатов предоставления гранта, установленных </w:t>
      </w:r>
      <w:hyperlink w:history="0" w:anchor="P177" w:tooltip="3.5. Результатами предоставления гранта являются:">
        <w:r>
          <w:rPr>
            <w:sz w:val="20"/>
            <w:color w:val="0000ff"/>
          </w:rPr>
          <w:t xml:space="preserve">пунктом 3.5</w:t>
        </w:r>
      </w:hyperlink>
      <w:r>
        <w:rPr>
          <w:sz w:val="20"/>
        </w:rPr>
        <w:t xml:space="preserve"> настоящего Порядка;</w:t>
      </w:r>
    </w:p>
    <w:p>
      <w:pPr>
        <w:pStyle w:val="0"/>
        <w:spacing w:before="200" w:line-rule="auto"/>
        <w:ind w:firstLine="540"/>
        <w:jc w:val="both"/>
      </w:pPr>
      <w:r>
        <w:rPr>
          <w:sz w:val="20"/>
        </w:rPr>
        <w:t xml:space="preserve">- требований к участникам конкурса, установленных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пунктом 1.4</w:t>
        </w:r>
      </w:hyperlink>
      <w:r>
        <w:rPr>
          <w:sz w:val="20"/>
        </w:rP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на участие в конкурсе и требований, предъявляемых к их форме и содержанию, в соответствии с </w:t>
      </w:r>
      <w:hyperlink w:history="0" w:anchor="P74" w:tooltip="2.2. Участник конкурса должен соответствовать требованиям, указанным в пункте 1.4 настоящего Порядка.">
        <w:r>
          <w:rPr>
            <w:sz w:val="20"/>
            <w:color w:val="0000ff"/>
          </w:rPr>
          <w:t xml:space="preserve">пунктами 2.2</w:t>
        </w:r>
      </w:hyperlink>
      <w:r>
        <w:rPr>
          <w:sz w:val="20"/>
        </w:rPr>
        <w:t xml:space="preserve">,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3.1</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на участие в конкурсе, порядка их возврата, порядка внесения изменений в заявки на участие в конкурсе в соответствии с </w:t>
      </w:r>
      <w:hyperlink w:history="0" w:anchor="P77" w:tooltip="2.3. Некоммерческая организация вправе в течение срока приема заявок:">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правил рассмотрения и оценки заявок на участие в конкурсе в соответствии с </w:t>
      </w:r>
      <w:hyperlink w:history="0" w:anchor="P82" w:tooltip="2.4. Ответственный сотрудник Департамента регистрирует поступившие заявки в журнале регистрации в день их поступления путем присвоения каждой заявке в порядке очередности их поступления порядкового номера, указания даты и времени приема заявки. Журнал регистрации заявок должен быть пронумерован, прошнурован и скреплен печатью.">
        <w:r>
          <w:rPr>
            <w:sz w:val="20"/>
            <w:color w:val="0000ff"/>
          </w:rPr>
          <w:t xml:space="preserve">пунктами 2.4</w:t>
        </w:r>
      </w:hyperlink>
      <w:r>
        <w:rPr>
          <w:sz w:val="20"/>
        </w:rPr>
        <w:t xml:space="preserve"> - </w:t>
      </w:r>
      <w:hyperlink w:history="0" w:anchor="P116" w:tooltip="2.12. По результатам рассмотрения представленных заявок Комиссия своим решением формирует проект рейтинга некоммерческих организаций - участников конкурса (далее - рейтинг) в порядке убывания присвоенных им итоговых баллов от наибольшего к наименьшему. Творческие проекты, получившие больший итоговый балл, получают более высокую позицию в рейтинге. Итоговый балл определяется как сумма баллов по всем оценочным критериям, указанным в пункте 2.11 настоящего Порядка.">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 в соответствии с </w:t>
      </w:r>
      <w:hyperlink w:history="0" w:anchor="P77" w:tooltip="2.3. Некоммерческая организация вправе в течение срока приема заявок:">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срока, в течение которого участник конкурса, признанный победителем, должен подписать соглашение о предоставлении гранта (далее - Соглашение);</w:t>
      </w:r>
    </w:p>
    <w:p>
      <w:pPr>
        <w:pStyle w:val="0"/>
        <w:spacing w:before="200" w:line-rule="auto"/>
        <w:ind w:firstLine="540"/>
        <w:jc w:val="both"/>
      </w:pPr>
      <w:r>
        <w:rPr>
          <w:sz w:val="20"/>
        </w:rPr>
        <w:t xml:space="preserve">- условия признания участника конкурса, признанного победителем, уклонившимся от заключения Соглашения в соответствии с </w:t>
      </w:r>
      <w:hyperlink w:history="0" w:anchor="P184" w:tooltip="3.7. Не позднее 5 рабочих дней после размещения на едином портале результата конкурса Департамент направляет победителю конкурса проект Соглашения для подписания.">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 даты размещения результатов конкурса в информационно-телекоммуникационной сети "Интернет" на едином портале и на сайте Департамента,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 направления реализации творческого проекта, предусмотренного </w:t>
      </w:r>
      <w:hyperlink w:history="0" w:anchor="P151" w:tooltip="1) творческий проект в сфере театрального искусства планируется к реализации на территории Воронежской области по следующему направлению: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
        <w:r>
          <w:rPr>
            <w:sz w:val="20"/>
            <w:color w:val="0000ff"/>
          </w:rPr>
          <w:t xml:space="preserve">подпунктом 1 пункта 3.3</w:t>
        </w:r>
      </w:hyperlink>
      <w:r>
        <w:rPr>
          <w:sz w:val="20"/>
        </w:rPr>
        <w:t xml:space="preserve"> настоящего Порядка;</w:t>
      </w:r>
    </w:p>
    <w:p>
      <w:pPr>
        <w:pStyle w:val="0"/>
        <w:spacing w:before="200" w:line-rule="auto"/>
        <w:ind w:firstLine="540"/>
        <w:jc w:val="both"/>
      </w:pPr>
      <w:r>
        <w:rPr>
          <w:sz w:val="20"/>
        </w:rPr>
        <w:t xml:space="preserve">- объема бюджетных средств, который будет распределен по результатам конкурса.</w:t>
      </w:r>
    </w:p>
    <w:p>
      <w:pPr>
        <w:pStyle w:val="0"/>
        <w:spacing w:before="200" w:line-rule="auto"/>
        <w:ind w:firstLine="540"/>
        <w:jc w:val="both"/>
      </w:pPr>
      <w:r>
        <w:rPr>
          <w:sz w:val="20"/>
        </w:rPr>
        <w:t xml:space="preserve">Информация для размещения объявления о проведении конкурса направляется Департаментом в срок не позднее 1 рабочего дня с даты размещения указанного объявления в департамент финансов Воронежской области для предоставления ее в Министерство финансов Российской Федерации для размещения на едином портале.</w:t>
      </w:r>
    </w:p>
    <w:bookmarkStart w:id="74" w:name="P74"/>
    <w:bookmarkEnd w:id="74"/>
    <w:p>
      <w:pPr>
        <w:pStyle w:val="0"/>
        <w:spacing w:before="200" w:line-rule="auto"/>
        <w:ind w:firstLine="540"/>
        <w:jc w:val="both"/>
      </w:pPr>
      <w:r>
        <w:rPr>
          <w:sz w:val="20"/>
        </w:rPr>
        <w:t xml:space="preserve">2.2. Участник конкурса должен соответствовать требованиям, указанным в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Требования, предъявляемые к форме и содержанию заявок на участие в конкурсе, установлены настоящим пунктом и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вправе подать только одну </w:t>
      </w:r>
      <w:hyperlink w:history="0" w:anchor="P237" w:tooltip="ЗАЯВКА">
        <w:r>
          <w:rPr>
            <w:sz w:val="20"/>
            <w:color w:val="0000ff"/>
          </w:rPr>
          <w:t xml:space="preserve">заявку</w:t>
        </w:r>
      </w:hyperlink>
      <w:r>
        <w:rPr>
          <w:sz w:val="20"/>
        </w:rPr>
        <w:t xml:space="preserve"> на участие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по форме согласно приложению N 1 к настоящему Порядку (далее - заявка).</w:t>
      </w:r>
    </w:p>
    <w:bookmarkStart w:id="77" w:name="P77"/>
    <w:bookmarkEnd w:id="77"/>
    <w:p>
      <w:pPr>
        <w:pStyle w:val="0"/>
        <w:spacing w:before="200" w:line-rule="auto"/>
        <w:ind w:firstLine="540"/>
        <w:jc w:val="both"/>
      </w:pPr>
      <w:r>
        <w:rPr>
          <w:sz w:val="20"/>
        </w:rPr>
        <w:t xml:space="preserve">2.3. Некоммерческая организация вправе в течение срока приема заявок:</w:t>
      </w:r>
    </w:p>
    <w:p>
      <w:pPr>
        <w:pStyle w:val="0"/>
        <w:spacing w:before="200" w:line-rule="auto"/>
        <w:ind w:firstLine="540"/>
        <w:jc w:val="both"/>
      </w:pPr>
      <w:r>
        <w:rPr>
          <w:sz w:val="20"/>
        </w:rPr>
        <w:t xml:space="preserve">- внести изменения в поданную заявку путем повторного направления в Департамент заявки с приложением документов, указанных в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 отказаться от участия в конкурсе путем отзыва поданной заявки.</w:t>
      </w:r>
    </w:p>
    <w:p>
      <w:pPr>
        <w:pStyle w:val="0"/>
        <w:spacing w:before="200" w:line-rule="auto"/>
        <w:ind w:firstLine="540"/>
        <w:jc w:val="both"/>
      </w:pPr>
      <w:r>
        <w:rPr>
          <w:sz w:val="20"/>
        </w:rPr>
        <w:t xml:space="preserve">Основанием для возврата заявки является поступление в течение срока проведения конкурса от некоммерческой организации в Департамент (не позднее дня определения победителя конкурса на получение гранта) обращения об отзыве заявки. Отозванные некоммерческой организацией заявки возвращаются Департаментом в течение 2 рабочих дней со дня поступления соответствующего обращения в Департамент.</w:t>
      </w:r>
    </w:p>
    <w:p>
      <w:pPr>
        <w:pStyle w:val="0"/>
        <w:spacing w:before="200" w:line-rule="auto"/>
        <w:ind w:firstLine="540"/>
        <w:jc w:val="both"/>
      </w:pPr>
      <w:r>
        <w:rPr>
          <w:sz w:val="20"/>
        </w:rPr>
        <w:t xml:space="preserve">Некоммерческая организация в период срока подачи заявок вправе обратиться в Департамент с письменным заявлением о разъяснении положений объявления о проведении конкурса. Департамент направляет письменные разъяснения такой некоммерческой организации в течение 3 рабочих дней со дня регистрации заявления о разъяснении положений объявления о проведении конкурса.</w:t>
      </w:r>
    </w:p>
    <w:bookmarkStart w:id="82" w:name="P82"/>
    <w:bookmarkEnd w:id="82"/>
    <w:p>
      <w:pPr>
        <w:pStyle w:val="0"/>
        <w:spacing w:before="200" w:line-rule="auto"/>
        <w:ind w:firstLine="540"/>
        <w:jc w:val="both"/>
      </w:pPr>
      <w:r>
        <w:rPr>
          <w:sz w:val="20"/>
        </w:rPr>
        <w:t xml:space="preserve">2.4. Ответственный сотрудник Департамента регистрирует поступившие заявки в журнале регистрации в день их поступления путем присвоения каждой заявке в порядке очередности их поступления порядкового номера, указания даты и времени приема заявки. Журнал регистрации заявок должен быть пронумерован, прошнурован и скреплен печатью.</w:t>
      </w:r>
    </w:p>
    <w:p>
      <w:pPr>
        <w:pStyle w:val="0"/>
        <w:spacing w:before="200" w:line-rule="auto"/>
        <w:ind w:firstLine="540"/>
        <w:jc w:val="both"/>
      </w:pPr>
      <w:r>
        <w:rPr>
          <w:sz w:val="20"/>
        </w:rPr>
        <w:t xml:space="preserve">Датой и временем подачи заявки являются дата и время регистрации заявок, указанные в журнале регистрации заявок. При внесении изменений в поданную заявку датой и временем подачи заявки являются дата и время регистрации изменений, указанные в журнале регистрации заявок.</w:t>
      </w:r>
    </w:p>
    <w:p>
      <w:pPr>
        <w:pStyle w:val="0"/>
        <w:spacing w:before="200" w:line-rule="auto"/>
        <w:ind w:firstLine="540"/>
        <w:jc w:val="both"/>
      </w:pPr>
      <w:r>
        <w:rPr>
          <w:sz w:val="20"/>
        </w:rPr>
        <w:t xml:space="preserve">2.5. В течение 10 календарных дней со дня окончания приема заявок Департамент проводит проверку на соответствие некоммерческой организации требованиям, установленным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пунктом 1.4</w:t>
        </w:r>
      </w:hyperlink>
      <w:r>
        <w:rPr>
          <w:sz w:val="20"/>
        </w:rPr>
        <w:t xml:space="preserve"> настоящего Порядка, условиям, определенным в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пунктах 3.1</w:t>
        </w:r>
      </w:hyperlink>
      <w:r>
        <w:rPr>
          <w:sz w:val="20"/>
        </w:rPr>
        <w:t xml:space="preserve">, </w:t>
      </w:r>
      <w:hyperlink w:history="0" w:anchor="P150" w:tooltip="3.3. Условиями предоставления гранта являются:">
        <w:r>
          <w:rPr>
            <w:sz w:val="20"/>
            <w:color w:val="0000ff"/>
          </w:rPr>
          <w:t xml:space="preserve">3.3</w:t>
        </w:r>
      </w:hyperlink>
      <w:r>
        <w:rPr>
          <w:sz w:val="20"/>
        </w:rPr>
        <w:t xml:space="preserve"> настоящего Порядка,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pPr>
        <w:pStyle w:val="0"/>
        <w:spacing w:before="200" w:line-rule="auto"/>
        <w:ind w:firstLine="540"/>
        <w:jc w:val="both"/>
      </w:pPr>
      <w:r>
        <w:rPr>
          <w:sz w:val="20"/>
        </w:rPr>
        <w:t xml:space="preserve">По результатам проверки Департамент принимает решение о допуске к участию в конкурсе либо при наличии оснований, предусмотренных </w:t>
      </w:r>
      <w:hyperlink w:history="0" w:anchor="P86" w:tooltip="2.6. Основаниями для отклонения некоммерческой организации в участии в конкурсе являются:">
        <w:r>
          <w:rPr>
            <w:sz w:val="20"/>
            <w:color w:val="0000ff"/>
          </w:rPr>
          <w:t xml:space="preserve">пунктом 2.6</w:t>
        </w:r>
      </w:hyperlink>
      <w:r>
        <w:rPr>
          <w:sz w:val="20"/>
        </w:rPr>
        <w:t xml:space="preserve"> настоящего Порядка, об отклонении заявки с указанием причины отказа.</w:t>
      </w:r>
    </w:p>
    <w:bookmarkStart w:id="86" w:name="P86"/>
    <w:bookmarkEnd w:id="86"/>
    <w:p>
      <w:pPr>
        <w:pStyle w:val="0"/>
        <w:spacing w:before="200" w:line-rule="auto"/>
        <w:ind w:firstLine="540"/>
        <w:jc w:val="both"/>
      </w:pPr>
      <w:r>
        <w:rPr>
          <w:sz w:val="20"/>
        </w:rPr>
        <w:t xml:space="preserve">2.6. Основаниями для отклонения некоммерческой организации в участии в конкурсе являются:</w:t>
      </w:r>
    </w:p>
    <w:p>
      <w:pPr>
        <w:pStyle w:val="0"/>
        <w:spacing w:before="200" w:line-rule="auto"/>
        <w:ind w:firstLine="540"/>
        <w:jc w:val="both"/>
      </w:pPr>
      <w:r>
        <w:rPr>
          <w:sz w:val="20"/>
        </w:rPr>
        <w:t xml:space="preserve">- несоответствие участника конкурса требованиям, указанным в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участником конкурса заявок и документов требованиям к заявкам участников конкурса;</w:t>
      </w:r>
    </w:p>
    <w:p>
      <w:pPr>
        <w:pStyle w:val="0"/>
        <w:spacing w:before="200" w:line-rule="auto"/>
        <w:ind w:firstLine="540"/>
        <w:jc w:val="both"/>
      </w:pPr>
      <w:r>
        <w:rPr>
          <w:sz w:val="20"/>
        </w:rPr>
        <w:t xml:space="preserve">-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 направление, по которому творческий проект планируется к реализации, не соответствует </w:t>
      </w:r>
      <w:hyperlink w:history="0" w:anchor="P151" w:tooltip="1) творческий проект в сфере театрального искусства планируется к реализации на территории Воронежской области по следующему направлению: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
        <w:r>
          <w:rPr>
            <w:sz w:val="20"/>
            <w:color w:val="0000ff"/>
          </w:rPr>
          <w:t xml:space="preserve">подпункту 1 пункта 3.3</w:t>
        </w:r>
      </w:hyperlink>
      <w:r>
        <w:rPr>
          <w:sz w:val="20"/>
        </w:rPr>
        <w:t xml:space="preserve"> настоящего Порядка.</w:t>
      </w:r>
    </w:p>
    <w:p>
      <w:pPr>
        <w:pStyle w:val="0"/>
        <w:spacing w:before="200" w:line-rule="auto"/>
        <w:ind w:firstLine="540"/>
        <w:jc w:val="both"/>
      </w:pPr>
      <w:r>
        <w:rPr>
          <w:sz w:val="20"/>
        </w:rPr>
        <w:t xml:space="preserve">2.7. В течение 1 рабочего дня со дня принятия решения о допуске к участию в конкурсе либо об отклонении заявки Департамент размещает на едином портале и сайте Департамента:</w:t>
      </w:r>
    </w:p>
    <w:p>
      <w:pPr>
        <w:pStyle w:val="0"/>
        <w:spacing w:before="200" w:line-rule="auto"/>
        <w:ind w:firstLine="540"/>
        <w:jc w:val="both"/>
      </w:pPr>
      <w:r>
        <w:rPr>
          <w:sz w:val="20"/>
        </w:rPr>
        <w:t xml:space="preserve">информацию о дате, времени и месте проведения рассмотрения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Информация для размещения результатов рассмотрения заявок направляется Департаментом в срок не позднее 2 рабочих дней с даты принятия решения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pPr>
        <w:pStyle w:val="0"/>
        <w:spacing w:before="200" w:line-rule="auto"/>
        <w:ind w:firstLine="540"/>
        <w:jc w:val="both"/>
      </w:pPr>
      <w:r>
        <w:rPr>
          <w:sz w:val="20"/>
        </w:rPr>
        <w:t xml:space="preserve">2.8. С целью проведения конкурса Департаментом создается конкурсная комиссия по присуждению гранта в форме субсидии на развитие деятельности негосударственных организаций в сфере театрального искусства Воронежской области (далее - Комиссия), состав которой утверждается приказом Департамента.</w:t>
      </w:r>
    </w:p>
    <w:p>
      <w:pPr>
        <w:pStyle w:val="0"/>
        <w:spacing w:before="200" w:line-rule="auto"/>
        <w:ind w:firstLine="540"/>
        <w:jc w:val="both"/>
      </w:pPr>
      <w:r>
        <w:rPr>
          <w:sz w:val="20"/>
        </w:rPr>
        <w:t xml:space="preserve">Комиссия создается в составе не менее 7 человек. Число членов Комиссии должно быть нечетным.</w:t>
      </w:r>
    </w:p>
    <w:p>
      <w:pPr>
        <w:pStyle w:val="0"/>
        <w:spacing w:before="200" w:line-rule="auto"/>
        <w:ind w:firstLine="540"/>
        <w:jc w:val="both"/>
      </w:pPr>
      <w:r>
        <w:rPr>
          <w:sz w:val="20"/>
        </w:rPr>
        <w:t xml:space="preserve">Членами Комиссии могут быть представители государственных и муниципальных учреждений, общественных организаций и объединений, осуществляющих деятельность в сфере культуры и искусства, образовательных и научных организаций, обладающие достаточными познаниями в сфере культуры и искусства, а также сотрудники Департамента. В состав Комиссии включаются в том числе члены общественных советов при исполнительных органах государственной власти Воронежской области.</w:t>
      </w:r>
    </w:p>
    <w:p>
      <w:pPr>
        <w:pStyle w:val="0"/>
        <w:spacing w:before="200" w:line-rule="auto"/>
        <w:ind w:firstLine="540"/>
        <w:jc w:val="both"/>
      </w:pPr>
      <w:r>
        <w:rPr>
          <w:sz w:val="20"/>
        </w:rPr>
        <w:t xml:space="preserve">Организационное обеспечение деятельности Комиссии осуществляет Департамент.</w:t>
      </w:r>
    </w:p>
    <w:p>
      <w:pPr>
        <w:pStyle w:val="0"/>
        <w:spacing w:before="200" w:line-rule="auto"/>
        <w:ind w:firstLine="540"/>
        <w:jc w:val="both"/>
      </w:pPr>
      <w:r>
        <w:rPr>
          <w:sz w:val="20"/>
        </w:rPr>
        <w:t xml:space="preserve">2.9. Принятие решений Комиссии осуществляется на ее заседании.</w:t>
      </w:r>
    </w:p>
    <w:p>
      <w:pPr>
        <w:pStyle w:val="0"/>
        <w:spacing w:before="200" w:line-rule="auto"/>
        <w:ind w:firstLine="540"/>
        <w:jc w:val="both"/>
      </w:pPr>
      <w:r>
        <w:rPr>
          <w:sz w:val="20"/>
        </w:rPr>
        <w:t xml:space="preserve">Заседание Комиссии правомочно в случае, если на нем присутствует не менее двух третей ее членов.</w:t>
      </w:r>
    </w:p>
    <w:p>
      <w:pPr>
        <w:pStyle w:val="0"/>
        <w:spacing w:before="200" w:line-rule="auto"/>
        <w:ind w:firstLine="540"/>
        <w:jc w:val="both"/>
      </w:pPr>
      <w:r>
        <w:rPr>
          <w:sz w:val="20"/>
        </w:rPr>
        <w:t xml:space="preserve">Решение Комиссии принимается большинством голосов от числа присутствующих на заседании членов Комиссии.</w:t>
      </w:r>
    </w:p>
    <w:p>
      <w:pPr>
        <w:pStyle w:val="0"/>
        <w:spacing w:before="200" w:line-rule="auto"/>
        <w:ind w:firstLine="540"/>
        <w:jc w:val="both"/>
      </w:pPr>
      <w:r>
        <w:rPr>
          <w:sz w:val="20"/>
        </w:rPr>
        <w:t xml:space="preserve">Решение Комиссии оформляется протоколом.</w:t>
      </w:r>
    </w:p>
    <w:p>
      <w:pPr>
        <w:pStyle w:val="0"/>
        <w:spacing w:before="200" w:line-rule="auto"/>
        <w:ind w:firstLine="540"/>
        <w:jc w:val="both"/>
      </w:pPr>
      <w:r>
        <w:rPr>
          <w:sz w:val="20"/>
        </w:rPr>
        <w:t xml:space="preserve">2.10. Комиссия осуществляет рассмотрение и анализ заявок на соответствие требованиям, установленным настоящим Порядком, не позднее 5 рабочих дней, следующих за днем решения о допуске к участию в конкурсе.</w:t>
      </w:r>
    </w:p>
    <w:bookmarkStart w:id="106" w:name="P106"/>
    <w:bookmarkEnd w:id="106"/>
    <w:p>
      <w:pPr>
        <w:pStyle w:val="0"/>
        <w:spacing w:before="200" w:line-rule="auto"/>
        <w:ind w:firstLine="540"/>
        <w:jc w:val="both"/>
      </w:pPr>
      <w:r>
        <w:rPr>
          <w:sz w:val="20"/>
        </w:rPr>
        <w:t xml:space="preserve">2.11. Поступившие заявки рассматриваются с выставлением баллов по следующим оценочным критериям:</w:t>
      </w:r>
    </w:p>
    <w:p>
      <w:pPr>
        <w:pStyle w:val="0"/>
        <w:spacing w:before="200" w:line-rule="auto"/>
        <w:ind w:firstLine="540"/>
        <w:jc w:val="both"/>
      </w:pPr>
      <w:r>
        <w:rPr>
          <w:sz w:val="20"/>
        </w:rPr>
        <w:t xml:space="preserve">- актуальность и значимость творческого проекта (не более 25 баллов);</w:t>
      </w:r>
    </w:p>
    <w:p>
      <w:pPr>
        <w:pStyle w:val="0"/>
        <w:spacing w:before="200" w:line-rule="auto"/>
        <w:ind w:firstLine="540"/>
        <w:jc w:val="both"/>
      </w:pPr>
      <w:r>
        <w:rPr>
          <w:sz w:val="20"/>
        </w:rPr>
        <w:t xml:space="preserve">- потенциал использованных новаторских приемов (не более 25 баллов);</w:t>
      </w:r>
    </w:p>
    <w:p>
      <w:pPr>
        <w:pStyle w:val="0"/>
        <w:spacing w:before="200" w:line-rule="auto"/>
        <w:ind w:firstLine="540"/>
        <w:jc w:val="both"/>
      </w:pPr>
      <w:r>
        <w:rPr>
          <w:sz w:val="20"/>
        </w:rPr>
        <w:t xml:space="preserve">- потенциал использованных методов художественной реализации творческого проекта (не более 25 баллов);</w:t>
      </w:r>
    </w:p>
    <w:p>
      <w:pPr>
        <w:pStyle w:val="0"/>
        <w:spacing w:before="200" w:line-rule="auto"/>
        <w:ind w:firstLine="540"/>
        <w:jc w:val="both"/>
      </w:pPr>
      <w:r>
        <w:rPr>
          <w:sz w:val="20"/>
        </w:rPr>
        <w:t xml:space="preserve">- эффективность творческого проекта (не более 25 баллов).</w:t>
      </w:r>
    </w:p>
    <w:p>
      <w:pPr>
        <w:pStyle w:val="0"/>
        <w:spacing w:before="200" w:line-rule="auto"/>
        <w:ind w:firstLine="540"/>
        <w:jc w:val="both"/>
      </w:pPr>
      <w:r>
        <w:rPr>
          <w:sz w:val="20"/>
        </w:rPr>
        <w:t xml:space="preserve">По каждому из критериев заявки рассматриваются и оцениваются с присвоением баллов:</w:t>
      </w:r>
    </w:p>
    <w:p>
      <w:pPr>
        <w:pStyle w:val="0"/>
        <w:spacing w:before="200" w:line-rule="auto"/>
        <w:ind w:firstLine="540"/>
        <w:jc w:val="both"/>
      </w:pPr>
      <w:r>
        <w:rPr>
          <w:sz w:val="20"/>
        </w:rPr>
        <w:t xml:space="preserve">- от 0 до 5 - творческий проект в малой степени соответствует данному критерию;</w:t>
      </w:r>
    </w:p>
    <w:p>
      <w:pPr>
        <w:pStyle w:val="0"/>
        <w:spacing w:before="200" w:line-rule="auto"/>
        <w:ind w:firstLine="540"/>
        <w:jc w:val="both"/>
      </w:pPr>
      <w:r>
        <w:rPr>
          <w:sz w:val="20"/>
        </w:rPr>
        <w:t xml:space="preserve">- от 5 до 10 - творческий проект в средней степени соответствует данному критерию;</w:t>
      </w:r>
    </w:p>
    <w:p>
      <w:pPr>
        <w:pStyle w:val="0"/>
        <w:spacing w:before="200" w:line-rule="auto"/>
        <w:ind w:firstLine="540"/>
        <w:jc w:val="both"/>
      </w:pPr>
      <w:r>
        <w:rPr>
          <w:sz w:val="20"/>
        </w:rPr>
        <w:t xml:space="preserve">- от 10 до 15 - творческий проект в значительной степени соответствует данному критерию;</w:t>
      </w:r>
    </w:p>
    <w:p>
      <w:pPr>
        <w:pStyle w:val="0"/>
        <w:spacing w:before="200" w:line-rule="auto"/>
        <w:ind w:firstLine="540"/>
        <w:jc w:val="both"/>
      </w:pPr>
      <w:r>
        <w:rPr>
          <w:sz w:val="20"/>
        </w:rPr>
        <w:t xml:space="preserve">- от 15 до 25 - творческий проект полностью соответствует данному критерию.</w:t>
      </w:r>
    </w:p>
    <w:bookmarkStart w:id="116" w:name="P116"/>
    <w:bookmarkEnd w:id="116"/>
    <w:p>
      <w:pPr>
        <w:pStyle w:val="0"/>
        <w:spacing w:before="200" w:line-rule="auto"/>
        <w:ind w:firstLine="540"/>
        <w:jc w:val="both"/>
      </w:pPr>
      <w:r>
        <w:rPr>
          <w:sz w:val="20"/>
        </w:rPr>
        <w:t xml:space="preserve">2.12. По результатам рассмотрения представленных заявок Комиссия своим решением формирует проект рейтинга некоммерческих организаций - участников конкурса (далее - рейтинг) в порядке убывания присвоенных им итоговых баллов от наибольшего к наименьшему. Творческие проекты, получившие больший итоговый балл, получают более высокую позицию в рейтинге. Итоговый балл определяется как сумма баллов по всем оценочным критериям, указанным в </w:t>
      </w:r>
      <w:hyperlink w:history="0" w:anchor="P106" w:tooltip="2.11. Поступившие заявки рассматриваются с выставлением баллов по следующим оценочны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В случае если по итогам оценки Комиссией несколько творческих проектов имеют одинаковое количество итоговых баллов, более высокое место в рейтинге получает творческий проект, заявка по которому была подана ранее.</w:t>
      </w:r>
    </w:p>
    <w:p>
      <w:pPr>
        <w:pStyle w:val="0"/>
        <w:spacing w:before="200" w:line-rule="auto"/>
        <w:ind w:firstLine="540"/>
        <w:jc w:val="both"/>
      </w:pPr>
      <w:r>
        <w:rPr>
          <w:sz w:val="20"/>
        </w:rPr>
        <w:t xml:space="preserve">2.13. В течение 2 рабочих дней со дня получения протокола Комиссии Департамент рассматривает документы, присваивает баллы и принимает решение, которым утверждается рейтинг, а также победитель конкурса, с указанием наименования некоммерческой организации, ее основного государственного регистрационного номера и (или) идентификационного номера налогоплательщика, названия творческого проекта, на осуществление которого предоставляется грант, размера гранта (далее - результаты конкурса) либо решение об отказе в предоставлении гранта.</w:t>
      </w:r>
    </w:p>
    <w:p>
      <w:pPr>
        <w:pStyle w:val="0"/>
        <w:spacing w:before="200" w:line-rule="auto"/>
        <w:ind w:firstLine="540"/>
        <w:jc w:val="both"/>
      </w:pPr>
      <w:r>
        <w:rPr>
          <w:sz w:val="20"/>
        </w:rPr>
        <w:t xml:space="preserve">Победителем конкурса признается некоммерческая организация, занявшая первое место в рейтинге (получившая наибольший итоговый балл).</w:t>
      </w:r>
    </w:p>
    <w:p>
      <w:pPr>
        <w:pStyle w:val="0"/>
        <w:spacing w:before="200" w:line-rule="auto"/>
        <w:ind w:firstLine="540"/>
        <w:jc w:val="both"/>
      </w:pPr>
      <w:r>
        <w:rPr>
          <w:sz w:val="20"/>
        </w:rPr>
        <w:t xml:space="preserve">В случае отказа в предоставлении гранта Департамент направляет соответствующее уведомление об отказе в предоставлении гранта с указанием причины принятия соответствующего решения.</w:t>
      </w:r>
    </w:p>
    <w:p>
      <w:pPr>
        <w:pStyle w:val="0"/>
        <w:spacing w:before="200" w:line-rule="auto"/>
        <w:ind w:firstLine="540"/>
        <w:jc w:val="both"/>
      </w:pPr>
      <w:r>
        <w:rPr>
          <w:sz w:val="20"/>
        </w:rPr>
        <w:t xml:space="preserve">2.14. В случае отсутствия заявок или в случае принятия решений об отклонении заявок или предоставлении гранта по всем поступившим заявкам конкурс признается несостоявшимся.</w:t>
      </w:r>
    </w:p>
    <w:p>
      <w:pPr>
        <w:pStyle w:val="0"/>
        <w:spacing w:before="200" w:line-rule="auto"/>
        <w:ind w:firstLine="540"/>
        <w:jc w:val="both"/>
      </w:pPr>
      <w:r>
        <w:rPr>
          <w:sz w:val="20"/>
        </w:rPr>
        <w:t xml:space="preserve">В случае если на конкурс представлена только одна заявка, такая заявка рассматривается в порядке, установленном настоящим Порядком. Некоммерческая организация признается победителем, если ее итоговый балл не менее 50.</w:t>
      </w:r>
    </w:p>
    <w:p>
      <w:pPr>
        <w:pStyle w:val="0"/>
        <w:spacing w:before="200" w:line-rule="auto"/>
        <w:ind w:firstLine="540"/>
        <w:jc w:val="both"/>
      </w:pPr>
      <w:r>
        <w:rPr>
          <w:sz w:val="20"/>
        </w:rPr>
        <w:t xml:space="preserve">2.15. Департамент размещает на едином портале и на сайте Департамента информацию о результатах рассмотрения заявок:</w:t>
      </w:r>
    </w:p>
    <w:p>
      <w:pPr>
        <w:pStyle w:val="0"/>
        <w:spacing w:before="200" w:line-rule="auto"/>
        <w:ind w:firstLine="540"/>
        <w:jc w:val="both"/>
      </w:pPr>
      <w:r>
        <w:rPr>
          <w:sz w:val="20"/>
        </w:rPr>
        <w:t xml:space="preserve">а) в течение 5 календарных дней со дня утверждения протокола Комиссии - протокол Комиссии и последовательность оценки заявок участников конкурса, присвоенные заявкам участников конкурса значения по каждому из предусмотренных оценочных критериев, принятое на основании результатов оценки указанных заявок решение о присвоении таким заявкам баллов и порядковых номеров;</w:t>
      </w:r>
    </w:p>
    <w:p>
      <w:pPr>
        <w:pStyle w:val="0"/>
        <w:spacing w:before="200" w:line-rule="auto"/>
        <w:ind w:firstLine="540"/>
        <w:jc w:val="both"/>
      </w:pPr>
      <w:r>
        <w:rPr>
          <w:sz w:val="20"/>
        </w:rPr>
        <w:t xml:space="preserve">б) в течение 5 календарных дней со дня утверждения результатов конкурса:</w:t>
      </w:r>
    </w:p>
    <w:p>
      <w:pPr>
        <w:pStyle w:val="0"/>
        <w:spacing w:before="200" w:line-rule="auto"/>
        <w:ind w:firstLine="540"/>
        <w:jc w:val="both"/>
      </w:pPr>
      <w:r>
        <w:rPr>
          <w:sz w:val="20"/>
        </w:rPr>
        <w:t xml:space="preserve">- дату, время и место оценки заявок;</w:t>
      </w:r>
    </w:p>
    <w:p>
      <w:pPr>
        <w:pStyle w:val="0"/>
        <w:spacing w:before="200" w:line-rule="auto"/>
        <w:ind w:firstLine="540"/>
        <w:jc w:val="both"/>
      </w:pPr>
      <w:r>
        <w:rPr>
          <w:sz w:val="20"/>
        </w:rPr>
        <w:t xml:space="preserve">- приказ Департамента о результатах конкурса;</w:t>
      </w:r>
    </w:p>
    <w:p>
      <w:pPr>
        <w:pStyle w:val="0"/>
        <w:spacing w:before="200" w:line-rule="auto"/>
        <w:ind w:firstLine="540"/>
        <w:jc w:val="both"/>
      </w:pPr>
      <w:r>
        <w:rPr>
          <w:sz w:val="20"/>
        </w:rPr>
        <w:t xml:space="preserve">- наименование победителя конкурса с указанием основного государственного регистрационного номера и (или) идентификационного номера налогоплательщика, названия и краткого описания творческого проекта, на осуществление которого предоставляется грант, и размера предоставляемого гранта;</w:t>
      </w:r>
    </w:p>
    <w:p>
      <w:pPr>
        <w:pStyle w:val="0"/>
        <w:spacing w:before="200" w:line-rule="auto"/>
        <w:ind w:firstLine="540"/>
        <w:jc w:val="both"/>
      </w:pPr>
      <w:r>
        <w:rPr>
          <w:sz w:val="20"/>
        </w:rPr>
        <w:t xml:space="preserve">- информацию о заявках, в отношении которых принято решение об отказе в предоставлении гранта.</w:t>
      </w:r>
    </w:p>
    <w:p>
      <w:pPr>
        <w:pStyle w:val="0"/>
        <w:spacing w:before="200" w:line-rule="auto"/>
        <w:ind w:firstLine="540"/>
        <w:jc w:val="both"/>
      </w:pPr>
      <w:r>
        <w:rPr>
          <w:sz w:val="20"/>
        </w:rPr>
        <w:t xml:space="preserve">Информация для размещения результатов рассмотрения заявок направляется Департаментом в срок не позднее 2 дней со дня утверждения результатов конкурса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bookmarkStart w:id="134" w:name="P134"/>
    <w:bookmarkEnd w:id="134"/>
    <w:p>
      <w:pPr>
        <w:pStyle w:val="0"/>
        <w:ind w:firstLine="540"/>
        <w:jc w:val="both"/>
      </w:pPr>
      <w:r>
        <w:rPr>
          <w:sz w:val="20"/>
        </w:rPr>
        <w:t xml:space="preserve">3.1. Для участия в конкурсе некоммерческая организация представляет в Департамент заявку с приложением следующих документов:</w:t>
      </w:r>
    </w:p>
    <w:p>
      <w:pPr>
        <w:pStyle w:val="0"/>
        <w:spacing w:before="200" w:line-rule="auto"/>
        <w:ind w:firstLine="540"/>
        <w:jc w:val="both"/>
      </w:pPr>
      <w:r>
        <w:rPr>
          <w:sz w:val="20"/>
        </w:rPr>
        <w:t xml:space="preserve">- сопроводительного письма с описью прилагаемых документов с указанием их реквизитов и количества листов в двух экземплярах (первый экземпляр сопроводительного письма с отметкой должностного лица Департамента, принявшего документы, о дате приема остается у некоммерческой организации);</w:t>
      </w:r>
    </w:p>
    <w:p>
      <w:pPr>
        <w:pStyle w:val="0"/>
        <w:spacing w:before="200" w:line-rule="auto"/>
        <w:ind w:firstLine="540"/>
        <w:jc w:val="both"/>
      </w:pPr>
      <w:r>
        <w:rPr>
          <w:sz w:val="20"/>
        </w:rPr>
        <w:t xml:space="preserve">- творческого проекта, на реализацию которого подается заявка, согласно </w:t>
      </w:r>
      <w:hyperlink w:history="0" w:anchor="P305" w:tooltip="Проект">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 копии устава некоммерческой организации с отметкой регистрирующего органа;</w:t>
      </w:r>
    </w:p>
    <w:p>
      <w:pPr>
        <w:pStyle w:val="0"/>
        <w:spacing w:before="200" w:line-rule="auto"/>
        <w:ind w:firstLine="540"/>
        <w:jc w:val="both"/>
      </w:pPr>
      <w:r>
        <w:rPr>
          <w:sz w:val="20"/>
        </w:rPr>
        <w:t xml:space="preserve">- документа, подтверждающего полномочия руководителя некоммерческой организации (копию решения о назначении или об избрании), а в случае подписания заявки представителем некоммерческой организации, действующим на основании доверенности, также копии доверенности на осуществление соответствующих действий;</w:t>
      </w:r>
    </w:p>
    <w:p>
      <w:pPr>
        <w:pStyle w:val="0"/>
        <w:spacing w:before="200" w:line-rule="auto"/>
        <w:ind w:firstLine="540"/>
        <w:jc w:val="both"/>
      </w:pPr>
      <w:r>
        <w:rPr>
          <w:sz w:val="20"/>
        </w:rPr>
        <w:t xml:space="preserve">- копии документа, подтверждающего право собственности, либо договора аренды (безвозмездного пользования) недвижимого имущества с наличием сценической площадки и зрительного зала.</w:t>
      </w:r>
    </w:p>
    <w:p>
      <w:pPr>
        <w:pStyle w:val="0"/>
        <w:spacing w:before="200" w:line-rule="auto"/>
        <w:ind w:firstLine="540"/>
        <w:jc w:val="both"/>
      </w:pPr>
      <w:r>
        <w:rPr>
          <w:sz w:val="20"/>
        </w:rPr>
        <w:t xml:space="preserve">Творческий проект, а также копии документов, представляемых в составе заявки, заверяются руководителем некоммерческой организации (иным лицом, уполномоченным действовать от имени некоммерческой организации) и скрепляются печатью некоммерческой организации (при наличии).</w:t>
      </w:r>
    </w:p>
    <w:p>
      <w:pPr>
        <w:pStyle w:val="0"/>
        <w:spacing w:before="200" w:line-rule="auto"/>
        <w:ind w:firstLine="540"/>
        <w:jc w:val="both"/>
      </w:pPr>
      <w:r>
        <w:rPr>
          <w:sz w:val="20"/>
        </w:rPr>
        <w:t xml:space="preserve">Если информация, включенная в состав заявки, содержит персональные данные, в состав заявки должно быть включено согласие субъектов этих данных на их обработку. В противном случае включение в состав заявки информации, содержащей персональные данные, не допускается.</w:t>
      </w:r>
    </w:p>
    <w:p>
      <w:pPr>
        <w:pStyle w:val="0"/>
        <w:spacing w:before="200" w:line-rule="auto"/>
        <w:ind w:firstLine="540"/>
        <w:jc w:val="both"/>
      </w:pPr>
      <w:r>
        <w:rPr>
          <w:sz w:val="20"/>
        </w:rPr>
        <w:t xml:space="preserve">3.2. Некоммерческая организация вправе приложить к заявке следующие документы:</w:t>
      </w:r>
    </w:p>
    <w:p>
      <w:pPr>
        <w:pStyle w:val="0"/>
        <w:spacing w:before="200" w:line-rule="auto"/>
        <w:ind w:firstLine="540"/>
        <w:jc w:val="both"/>
      </w:pPr>
      <w:r>
        <w:rPr>
          <w:sz w:val="20"/>
        </w:rPr>
        <w:t xml:space="preserve">- копию свидетельства о государственной регистрации юридического лица или листа записи Единого государственного реестра юридических лиц;</w:t>
      </w:r>
    </w:p>
    <w:p>
      <w:pPr>
        <w:pStyle w:val="0"/>
        <w:spacing w:before="200" w:line-rule="auto"/>
        <w:ind w:firstLine="540"/>
        <w:jc w:val="both"/>
      </w:pPr>
      <w:r>
        <w:rPr>
          <w:sz w:val="20"/>
        </w:rPr>
        <w:t xml:space="preserve">- копию свидетельства о постановке на налоговый учет;</w:t>
      </w:r>
    </w:p>
    <w:p>
      <w:pPr>
        <w:pStyle w:val="0"/>
        <w:spacing w:before="200" w:line-rule="auto"/>
        <w:ind w:firstLine="540"/>
        <w:jc w:val="both"/>
      </w:pPr>
      <w:r>
        <w:rPr>
          <w:sz w:val="20"/>
        </w:rPr>
        <w:t xml:space="preserve">- копию выписки из Единого государственного реестра юридических лиц, выданной не ранее чем за 10 календарных дней до момента подачи заявки;</w:t>
      </w:r>
    </w:p>
    <w:p>
      <w:pPr>
        <w:pStyle w:val="0"/>
        <w:spacing w:before="200" w:line-rule="auto"/>
        <w:ind w:firstLine="540"/>
        <w:jc w:val="both"/>
      </w:pPr>
      <w:r>
        <w:rPr>
          <w:sz w:val="20"/>
        </w:rPr>
        <w:t xml:space="preserve">- документ, подтверждающий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300 тыс. рублей.</w:t>
      </w:r>
    </w:p>
    <w:p>
      <w:pPr>
        <w:pStyle w:val="0"/>
        <w:spacing w:before="200" w:line-rule="auto"/>
        <w:ind w:firstLine="540"/>
        <w:jc w:val="both"/>
      </w:pPr>
      <w:r>
        <w:rPr>
          <w:sz w:val="20"/>
        </w:rPr>
        <w:t xml:space="preserve">В случае если документы, указанные в настоящем пункте, не были представлены, Департамент запрашивает необходимую информацию самостоятельно посредством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Кроме документов, указанных в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пункте 3.1</w:t>
        </w:r>
      </w:hyperlink>
      <w:r>
        <w:rPr>
          <w:sz w:val="20"/>
        </w:rPr>
        <w:t xml:space="preserve"> настоящего Порядка, некоммерческая организация может представить дополнительные документы и материалы о своей деятельности, которые, по ее мнению, могут быть учтены при оценке заявки.</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содержащихся в представленных документах.</w:t>
      </w:r>
    </w:p>
    <w:bookmarkStart w:id="150" w:name="P150"/>
    <w:bookmarkEnd w:id="150"/>
    <w:p>
      <w:pPr>
        <w:pStyle w:val="0"/>
        <w:spacing w:before="200" w:line-rule="auto"/>
        <w:ind w:firstLine="540"/>
        <w:jc w:val="both"/>
      </w:pPr>
      <w:r>
        <w:rPr>
          <w:sz w:val="20"/>
        </w:rPr>
        <w:t xml:space="preserve">3.3. Условиями предоставления гранта являются:</w:t>
      </w:r>
    </w:p>
    <w:bookmarkStart w:id="151" w:name="P151"/>
    <w:bookmarkEnd w:id="151"/>
    <w:p>
      <w:pPr>
        <w:pStyle w:val="0"/>
        <w:spacing w:before="200" w:line-rule="auto"/>
        <w:ind w:firstLine="540"/>
        <w:jc w:val="both"/>
      </w:pPr>
      <w:r>
        <w:rPr>
          <w:sz w:val="20"/>
        </w:rPr>
        <w:t xml:space="preserve">1) творческий проект в сфере театрального искусства планируется к реализации на территории Воронежской области по следующему направлению: создание и показ новых спектаклей; некоммерческой организацией могут быть дополнительно проведены театральный фестиваль (фестивали), и (или) семинар (семинары), и (или) лаборатория (лаборатории), и (или) творческая встреча (встречи), и другие мероприятия художественно-творческого характера;</w:t>
      </w:r>
    </w:p>
    <w:p>
      <w:pPr>
        <w:pStyle w:val="0"/>
        <w:spacing w:before="200" w:line-rule="auto"/>
        <w:ind w:firstLine="540"/>
        <w:jc w:val="both"/>
      </w:pPr>
      <w:r>
        <w:rPr>
          <w:sz w:val="20"/>
        </w:rPr>
        <w:t xml:space="preserve">2) средства гранта могут быть направлены на следующие виды расходов:</w:t>
      </w:r>
    </w:p>
    <w:p>
      <w:pPr>
        <w:pStyle w:val="0"/>
        <w:spacing w:before="200" w:line-rule="auto"/>
        <w:ind w:firstLine="540"/>
        <w:jc w:val="both"/>
      </w:pPr>
      <w:r>
        <w:rPr>
          <w:sz w:val="20"/>
        </w:rPr>
        <w:t xml:space="preserve">- оплата труда работников некоммерческой организации, а также иных исполнителей, привлекаемых к реализации творческого проекта;</w:t>
      </w:r>
    </w:p>
    <w:p>
      <w:pPr>
        <w:pStyle w:val="0"/>
        <w:spacing w:before="200" w:line-rule="auto"/>
        <w:ind w:firstLine="540"/>
        <w:jc w:val="both"/>
      </w:pPr>
      <w:r>
        <w:rPr>
          <w:sz w:val="20"/>
        </w:rPr>
        <w:t xml:space="preserve">- оплата авторского вознаграждения и гонораров творческим работникам, привлекаемым к реализации творческого проекта;</w:t>
      </w:r>
    </w:p>
    <w:p>
      <w:pPr>
        <w:pStyle w:val="0"/>
        <w:spacing w:before="200" w:line-rule="auto"/>
        <w:ind w:firstLine="540"/>
        <w:jc w:val="both"/>
      </w:pPr>
      <w:r>
        <w:rPr>
          <w:sz w:val="20"/>
        </w:rPr>
        <w:t xml:space="preserve">- оплата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 обеспечение условий по приему и направлению участников творческого проекта, включая наем жилого помещения, проезд, питание, выездные документы;</w:t>
      </w:r>
    </w:p>
    <w:p>
      <w:pPr>
        <w:pStyle w:val="0"/>
        <w:spacing w:before="200" w:line-rule="auto"/>
        <w:ind w:firstLine="540"/>
        <w:jc w:val="both"/>
      </w:pPr>
      <w:r>
        <w:rPr>
          <w:sz w:val="20"/>
        </w:rPr>
        <w:t xml:space="preserve">- обеспечение условий по транспортировке декораций, музыкальных инструментов и костюмов;</w:t>
      </w:r>
    </w:p>
    <w:p>
      <w:pPr>
        <w:pStyle w:val="0"/>
        <w:spacing w:before="200" w:line-rule="auto"/>
        <w:ind w:firstLine="540"/>
        <w:jc w:val="both"/>
      </w:pPr>
      <w:r>
        <w:rPr>
          <w:sz w:val="20"/>
        </w:rPr>
        <w:t xml:space="preserve">- оплата расходов на рекламно-информационное обеспечение (включая изготовление информационно-методических, рекламных, текстовых материалов, фото- и видеоматериалов, размещение соответствующих материалов в средствах массовой информации);</w:t>
      </w:r>
    </w:p>
    <w:p>
      <w:pPr>
        <w:pStyle w:val="0"/>
        <w:spacing w:before="200" w:line-rule="auto"/>
        <w:ind w:firstLine="540"/>
        <w:jc w:val="both"/>
      </w:pPr>
      <w:r>
        <w:rPr>
          <w:sz w:val="20"/>
        </w:rPr>
        <w:t xml:space="preserve">- оплата работ (услуг) по обеспечению творческого проекта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 оплата работ (услуг) по обеспечению творческого проекта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 арендная плата за пользование имуществом, в том числе оплата аренды помещений и сценических площадок для реализации творческого проекта;</w:t>
      </w:r>
    </w:p>
    <w:p>
      <w:pPr>
        <w:pStyle w:val="0"/>
        <w:spacing w:before="200" w:line-rule="auto"/>
        <w:ind w:firstLine="540"/>
        <w:jc w:val="both"/>
      </w:pPr>
      <w:r>
        <w:rPr>
          <w:sz w:val="20"/>
        </w:rPr>
        <w:t xml:space="preserve">- оплата расходов на содержание арендуемых помещений и сценических площадок, в том числе расходов на коммунальные услуги;</w:t>
      </w:r>
    </w:p>
    <w:p>
      <w:pPr>
        <w:pStyle w:val="0"/>
        <w:spacing w:before="200" w:line-rule="auto"/>
        <w:ind w:firstLine="540"/>
        <w:jc w:val="both"/>
      </w:pPr>
      <w:r>
        <w:rPr>
          <w:sz w:val="20"/>
        </w:rPr>
        <w:t xml:space="preserve">- приобретение и (или) аренда технического и технологического оборудования, не являющегося капитальным вложением (включая доставку, монтаж (демонтаж), погрузочно-разгрузочные работы и обслуживание), необходимого для осуществления творческого проекта (не более 30 процентов размера гранта в случае приобретения оборудования), и приобретение и (или) аренда музыкальных инструментов, необходимых для осуществления творческого проекта (не более 10 процентов размера гранта);</w:t>
      </w:r>
    </w:p>
    <w:p>
      <w:pPr>
        <w:pStyle w:val="0"/>
        <w:spacing w:before="200" w:line-rule="auto"/>
        <w:ind w:firstLine="540"/>
        <w:jc w:val="both"/>
      </w:pPr>
      <w:r>
        <w:rPr>
          <w:sz w:val="20"/>
        </w:rPr>
        <w:t xml:space="preserve">- уплата налогов, сборов и иных обязательных платежей в порядке, установленном законодательством Российской Федерации;</w:t>
      </w:r>
    </w:p>
    <w:p>
      <w:pPr>
        <w:pStyle w:val="0"/>
        <w:spacing w:before="200" w:line-rule="auto"/>
        <w:ind w:firstLine="540"/>
        <w:jc w:val="both"/>
      </w:pPr>
      <w:r>
        <w:rPr>
          <w:sz w:val="20"/>
        </w:rPr>
        <w:t xml:space="preserve">3) срок реализации творческого проекта не должен превышать 12 месяцев со дня предоставления гранта;</w:t>
      </w:r>
    </w:p>
    <w:p>
      <w:pPr>
        <w:pStyle w:val="0"/>
        <w:spacing w:before="200" w:line-rule="auto"/>
        <w:ind w:firstLine="540"/>
        <w:jc w:val="both"/>
      </w:pPr>
      <w:r>
        <w:rPr>
          <w:sz w:val="20"/>
        </w:rPr>
        <w:t xml:space="preserve">4)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5) некоммерческой организации, а также иным юридическим лицам, получающим средства на основании договоров, заключенных с некоммерческой организацией, запрещается приобретение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6) согласие некоммерческой организации и лиц, получающих средства на основании договоров (соглашений),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в целях исполнения обязательств по Соглашению (далее - поставщики), на осуществление Департаментом проверок соблюдения ею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в соответствии со </w:t>
      </w:r>
      <w:hyperlink w:history="0" r:id="rId1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1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размер предоставляемого гранта некоммерческой организации - победителю конкурса составляет 5,0 млн рублей;</w:t>
      </w:r>
    </w:p>
    <w:p>
      <w:pPr>
        <w:pStyle w:val="0"/>
        <w:spacing w:before="200" w:line-rule="auto"/>
        <w:ind w:firstLine="540"/>
        <w:jc w:val="both"/>
      </w:pPr>
      <w:r>
        <w:rPr>
          <w:sz w:val="20"/>
        </w:rPr>
        <w:t xml:space="preserve">8) некоммерческая организация не вправе получать несколько грантов или субсидий из областного бюджета на реализацию одного творческого проекта (части творческого проекта).</w:t>
      </w:r>
    </w:p>
    <w:p>
      <w:pPr>
        <w:pStyle w:val="0"/>
        <w:spacing w:before="200" w:line-rule="auto"/>
        <w:ind w:firstLine="540"/>
        <w:jc w:val="both"/>
      </w:pPr>
      <w:r>
        <w:rPr>
          <w:sz w:val="20"/>
        </w:rPr>
        <w:t xml:space="preserve">3.4.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 несоответствие представленных некоммерческой организацией документов требованиям, определенным в соответствии с </w:t>
      </w:r>
      <w:hyperlink w:history="0" w:anchor="P74" w:tooltip="2.2. Участник конкурса должен соответствовать требованиям, указанным в пункте 1.4 настоящего Порядка.">
        <w:r>
          <w:rPr>
            <w:sz w:val="20"/>
            <w:color w:val="0000ff"/>
          </w:rPr>
          <w:t xml:space="preserve">пунктами 2.2</w:t>
        </w:r>
      </w:hyperlink>
      <w:r>
        <w:rPr>
          <w:sz w:val="20"/>
        </w:rPr>
        <w:t xml:space="preserve">, </w:t>
      </w:r>
      <w:hyperlink w:history="0" w:anchor="P134" w:tooltip="3.1. Для участия в конкурсе некоммерческая организация представляет в Департамент заявку с приложением следующих документов:">
        <w:r>
          <w:rPr>
            <w:sz w:val="20"/>
            <w:color w:val="0000ff"/>
          </w:rPr>
          <w:t xml:space="preserve">3.1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 невыполнение цели и условий предоставления гранта, установленных настоящим Порядком;</w:t>
      </w:r>
    </w:p>
    <w:p>
      <w:pPr>
        <w:pStyle w:val="0"/>
        <w:spacing w:before="200" w:line-rule="auto"/>
        <w:ind w:firstLine="540"/>
        <w:jc w:val="both"/>
      </w:pPr>
      <w:r>
        <w:rPr>
          <w:sz w:val="20"/>
        </w:rPr>
        <w:t xml:space="preserve">- уклонение победителя конкурса от заключения Соглашения;</w:t>
      </w:r>
    </w:p>
    <w:p>
      <w:pPr>
        <w:pStyle w:val="0"/>
        <w:spacing w:before="200" w:line-rule="auto"/>
        <w:ind w:firstLine="540"/>
        <w:jc w:val="both"/>
      </w:pPr>
      <w:r>
        <w:rPr>
          <w:sz w:val="20"/>
        </w:rPr>
        <w:t xml:space="preserve">- отказ победителя конкурса от получения гранта.</w:t>
      </w:r>
    </w:p>
    <w:bookmarkStart w:id="177" w:name="P177"/>
    <w:bookmarkEnd w:id="177"/>
    <w:p>
      <w:pPr>
        <w:pStyle w:val="0"/>
        <w:spacing w:before="200" w:line-rule="auto"/>
        <w:ind w:firstLine="540"/>
        <w:jc w:val="both"/>
      </w:pPr>
      <w:r>
        <w:rPr>
          <w:sz w:val="20"/>
        </w:rPr>
        <w:t xml:space="preserve">3.5. Результатами предоставления гранта являются:</w:t>
      </w:r>
    </w:p>
    <w:p>
      <w:pPr>
        <w:pStyle w:val="0"/>
        <w:spacing w:before="200" w:line-rule="auto"/>
        <w:ind w:firstLine="540"/>
        <w:jc w:val="both"/>
      </w:pPr>
      <w:r>
        <w:rPr>
          <w:sz w:val="20"/>
        </w:rPr>
        <w:t xml:space="preserve">1) творческий проект, реализованный в сроки, установленные в Соглашении;</w:t>
      </w:r>
    </w:p>
    <w:p>
      <w:pPr>
        <w:pStyle w:val="0"/>
        <w:spacing w:before="200" w:line-rule="auto"/>
        <w:ind w:firstLine="540"/>
        <w:jc w:val="both"/>
      </w:pPr>
      <w:r>
        <w:rPr>
          <w:sz w:val="20"/>
        </w:rPr>
        <w:t xml:space="preserve">2) количество зрителей, посетивших публичные выступления в рамках реализации творческого проекта в течение срока его реализации, - свыше 2000 человек.</w:t>
      </w:r>
    </w:p>
    <w:p>
      <w:pPr>
        <w:pStyle w:val="0"/>
        <w:spacing w:before="200" w:line-rule="auto"/>
        <w:ind w:firstLine="540"/>
        <w:jc w:val="both"/>
      </w:pPr>
      <w:r>
        <w:rPr>
          <w:sz w:val="20"/>
        </w:rPr>
        <w:t xml:space="preserve">Значения результатов предоставления гранта устанавливаются Департаментом в Соглашении.</w:t>
      </w:r>
    </w:p>
    <w:p>
      <w:pPr>
        <w:pStyle w:val="0"/>
        <w:spacing w:before="200" w:line-rule="auto"/>
        <w:ind w:firstLine="540"/>
        <w:jc w:val="both"/>
      </w:pPr>
      <w:r>
        <w:rPr>
          <w:sz w:val="20"/>
        </w:rPr>
        <w:t xml:space="preserve">3.6. Департамент заключает с некоммерческой организацией - победителем конкурса Соглашение в соответствии с типовой формой, установленной департаментом финансов Воронежской области.</w:t>
      </w:r>
    </w:p>
    <w:p>
      <w:pPr>
        <w:pStyle w:val="0"/>
        <w:spacing w:before="200" w:line-rule="auto"/>
        <w:ind w:firstLine="540"/>
        <w:jc w:val="both"/>
      </w:pPr>
      <w:r>
        <w:rPr>
          <w:sz w:val="20"/>
        </w:rPr>
        <w:t xml:space="preserve">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департаментом финансов Воронежской области.</w:t>
      </w:r>
    </w:p>
    <w:p>
      <w:pPr>
        <w:pStyle w:val="0"/>
        <w:spacing w:before="200" w:line-rule="auto"/>
        <w:ind w:firstLine="540"/>
        <w:jc w:val="both"/>
      </w:pPr>
      <w:r>
        <w:rPr>
          <w:sz w:val="20"/>
        </w:rPr>
        <w:t xml:space="preserve">Соглашением (дополнительным соглашением) не могут быть изменены условия творческого проекта, на основании которых формировался рейтинг в соответствии с балльной шкалой критериев конкурса.</w:t>
      </w:r>
    </w:p>
    <w:bookmarkStart w:id="184" w:name="P184"/>
    <w:bookmarkEnd w:id="184"/>
    <w:p>
      <w:pPr>
        <w:pStyle w:val="0"/>
        <w:spacing w:before="200" w:line-rule="auto"/>
        <w:ind w:firstLine="540"/>
        <w:jc w:val="both"/>
      </w:pPr>
      <w:r>
        <w:rPr>
          <w:sz w:val="20"/>
        </w:rPr>
        <w:t xml:space="preserve">3.7. Не позднее 5 рабочих дней после размещения на едином портале результата конкурса Департамент направляет победителю конкурса проект Соглашения для подписания.</w:t>
      </w:r>
    </w:p>
    <w:p>
      <w:pPr>
        <w:pStyle w:val="0"/>
        <w:spacing w:before="200" w:line-rule="auto"/>
        <w:ind w:firstLine="540"/>
        <w:jc w:val="both"/>
      </w:pPr>
      <w:r>
        <w:rPr>
          <w:sz w:val="20"/>
        </w:rPr>
        <w:t xml:space="preserve">Письменное извещение направляется любым доступным способом, обеспечивающим установление (фиксацию) факта получения проекта Соглашения (почтовое отправление с уведомлением, электронная почта, нарочным).</w:t>
      </w:r>
    </w:p>
    <w:p>
      <w:pPr>
        <w:pStyle w:val="0"/>
        <w:spacing w:before="200" w:line-rule="auto"/>
        <w:ind w:firstLine="540"/>
        <w:jc w:val="both"/>
      </w:pPr>
      <w:r>
        <w:rPr>
          <w:sz w:val="20"/>
        </w:rPr>
        <w:t xml:space="preserve">Победитель конкурса в течение 10 рабочих дней со дня получения проекта Соглашения подписывает и представляет его в Департамент.</w:t>
      </w:r>
    </w:p>
    <w:p>
      <w:pPr>
        <w:pStyle w:val="0"/>
        <w:spacing w:before="200" w:line-rule="auto"/>
        <w:ind w:firstLine="540"/>
        <w:jc w:val="both"/>
      </w:pPr>
      <w:r>
        <w:rPr>
          <w:sz w:val="20"/>
        </w:rPr>
        <w:t xml:space="preserve">В случае непредставления в Департамент подписанного Соглашения в указанный срок победитель конкурса считается уклонившимся от заключения Соглашения.</w:t>
      </w:r>
    </w:p>
    <w:p>
      <w:pPr>
        <w:pStyle w:val="0"/>
        <w:spacing w:before="200" w:line-rule="auto"/>
        <w:ind w:firstLine="540"/>
        <w:jc w:val="both"/>
      </w:pPr>
      <w:r>
        <w:rPr>
          <w:sz w:val="20"/>
        </w:rPr>
        <w:t xml:space="preserve">3.8. Грант перечисляется на расчетный счет, открытый победителем конкурса для получения гранта в российской кредитной организации, в течение 10 банковских дней со дня подписания Соглашения.</w:t>
      </w:r>
    </w:p>
    <w:p>
      <w:pPr>
        <w:pStyle w:val="0"/>
        <w:spacing w:before="200" w:line-rule="auto"/>
        <w:ind w:firstLine="540"/>
        <w:jc w:val="both"/>
      </w:pPr>
      <w:r>
        <w:rPr>
          <w:sz w:val="20"/>
        </w:rPr>
        <w:t xml:space="preserve">3.9. Предоставленный грант должен быть использован получателем гранта в срок, предусмотренный Соглашением.</w:t>
      </w:r>
    </w:p>
    <w:p>
      <w:pPr>
        <w:pStyle w:val="0"/>
        <w:spacing w:before="200" w:line-rule="auto"/>
        <w:ind w:firstLine="540"/>
        <w:jc w:val="both"/>
      </w:pPr>
      <w:r>
        <w:rPr>
          <w:sz w:val="20"/>
        </w:rPr>
        <w:t xml:space="preserve">3.10. В случае нарушения некоммерческой организацией условий предоставления гранта Департамент направляет некоммерческой организации требование о возврате гранта. Грант подлежит возврату некоммерческой организацией в сроки, установленные </w:t>
      </w:r>
      <w:hyperlink w:history="0" w:anchor="P218" w:tooltip="5.4. В случае нарушения некоммерческой организацией условий, установленных при предоставлении гранта,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некоммерческой организации и (или) поставщику требование о возврате средств гранта и (или) средств, полученных на основании договоров, заключенных с некоммерческой организацией, в областной бюджет.">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При нарушении срока возврата гранта Департамент принимает меры по взысканию указанных средств в областной бюджет в установленном законодательством порядке.</w:t>
      </w:r>
    </w:p>
    <w:p>
      <w:pPr>
        <w:pStyle w:val="0"/>
        <w:spacing w:before="200" w:line-rule="auto"/>
        <w:ind w:firstLine="540"/>
        <w:jc w:val="both"/>
      </w:pPr>
      <w:r>
        <w:rPr>
          <w:sz w:val="20"/>
        </w:rPr>
        <w:t xml:space="preserve">3.11. Неиспользованный остаток гранта подлежит возврату в областной бюджет не позднее 10 календарных дней после даты окончания реализации творческого проекта или срока реализации творческого проекта, указанного в Соглашении, в зависимости от того, что наступит ранее.</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Некоммерческая организация - получатель гранта представляет в Департамент отчет о достижении результатов предоставления гранта и отчет об осуществлении расходов, источником финансового обеспечения которых является грант (далее - отчет об осуществлении расходов), по форме, определенной типовой формой Соглашения, установленной департаментом финансов Воронежской области, в следующие сроки:</w:t>
      </w:r>
    </w:p>
    <w:p>
      <w:pPr>
        <w:pStyle w:val="0"/>
        <w:spacing w:before="200" w:line-rule="auto"/>
        <w:ind w:firstLine="540"/>
        <w:jc w:val="both"/>
      </w:pPr>
      <w:r>
        <w:rPr>
          <w:sz w:val="20"/>
        </w:rPr>
        <w:t xml:space="preserve">- ежеквартально до 30-го числа месяца, следующего за отчетным периодом;</w:t>
      </w:r>
    </w:p>
    <w:p>
      <w:pPr>
        <w:pStyle w:val="0"/>
        <w:spacing w:before="200" w:line-rule="auto"/>
        <w:ind w:firstLine="540"/>
        <w:jc w:val="both"/>
      </w:pPr>
      <w:r>
        <w:rPr>
          <w:sz w:val="20"/>
        </w:rPr>
        <w:t xml:space="preserve">- за весь период реализации творческого проекта - не позднее 15 рабочих дней с даты окончания реализации творческого проекта.</w:t>
      </w:r>
    </w:p>
    <w:p>
      <w:pPr>
        <w:pStyle w:val="0"/>
        <w:spacing w:before="200" w:line-rule="auto"/>
        <w:ind w:firstLine="540"/>
        <w:jc w:val="both"/>
      </w:pPr>
      <w:r>
        <w:rPr>
          <w:sz w:val="20"/>
        </w:rPr>
        <w:t xml:space="preserve">К отчету об осуществлении расходов прилагаются следующие документы:</w:t>
      </w:r>
    </w:p>
    <w:p>
      <w:pPr>
        <w:pStyle w:val="0"/>
        <w:spacing w:before="200" w:line-rule="auto"/>
        <w:ind w:firstLine="540"/>
        <w:jc w:val="both"/>
      </w:pPr>
      <w:r>
        <w:rPr>
          <w:sz w:val="20"/>
        </w:rPr>
        <w:t xml:space="preserve">- составленная в свободной форме пояснительная записка, которая содержит информацию об осуществлении расходов, источником финансового обеспечения которых является грант, о результатах реализации творческого проекта за отчетный период, о проведенных мероприятиях, достигнутых результатах;</w:t>
      </w:r>
    </w:p>
    <w:p>
      <w:pPr>
        <w:pStyle w:val="0"/>
        <w:spacing w:before="200" w:line-rule="auto"/>
        <w:ind w:firstLine="540"/>
        <w:jc w:val="both"/>
      </w:pPr>
      <w:r>
        <w:rPr>
          <w:sz w:val="20"/>
        </w:rPr>
        <w:t xml:space="preserve">- заверенные руководителем некоммерческой организации копии договоров, первичных финансовых документов, подтверждающих расходы, понесенные при реализации творческого проекта;</w:t>
      </w:r>
    </w:p>
    <w:p>
      <w:pPr>
        <w:pStyle w:val="0"/>
        <w:spacing w:before="200" w:line-rule="auto"/>
        <w:ind w:firstLine="540"/>
        <w:jc w:val="both"/>
      </w:pPr>
      <w:r>
        <w:rPr>
          <w:sz w:val="20"/>
        </w:rPr>
        <w:t xml:space="preserve">- иные документы, связанные с предоставлением гранта, по инициативе некоммерческой организации.</w:t>
      </w:r>
    </w:p>
    <w:p>
      <w:pPr>
        <w:pStyle w:val="0"/>
        <w:spacing w:before="200" w:line-rule="auto"/>
        <w:ind w:firstLine="540"/>
        <w:jc w:val="both"/>
      </w:pPr>
      <w:r>
        <w:rPr>
          <w:sz w:val="20"/>
        </w:rPr>
        <w:t xml:space="preserve">Отчет об осуществлении расходов должен быть оформлен на бумажном носителе, прошит и пронумерован, подписан руководителем некоммерческой организации и скреплен печатью (при наличии).</w:t>
      </w:r>
    </w:p>
    <w:p>
      <w:pPr>
        <w:pStyle w:val="0"/>
        <w:spacing w:before="200" w:line-rule="auto"/>
        <w:ind w:firstLine="540"/>
        <w:jc w:val="both"/>
      </w:pPr>
      <w:r>
        <w:rPr>
          <w:sz w:val="20"/>
        </w:rPr>
        <w:t xml:space="preserve">4.2. По итогам рассмотрения отчета об осуществлении расходов Департамент вправе предложить некоммерческой организации представить дополнительные документы, подтверждающие расходование гранта в целях реализации творческого проекта. Такие документы могут быть представлены в течение 10 дней с даты получения уведомления Департамента.</w:t>
      </w:r>
    </w:p>
    <w:p>
      <w:pPr>
        <w:pStyle w:val="0"/>
        <w:spacing w:before="200" w:line-rule="auto"/>
        <w:ind w:firstLine="540"/>
        <w:jc w:val="both"/>
      </w:pPr>
      <w:r>
        <w:rPr>
          <w:sz w:val="20"/>
        </w:rPr>
        <w:t xml:space="preserve">В случае если по результатам рассмотрения отчета об осуществлении расходов выявлено наличие неиспользованного остатка гранта, Департамент в течение 60 дней с даты получения отчета об осуществлении расходов направляет некоммерческой организации уведомление, содержащее расчет подлежащего возврату остатка гранта.</w:t>
      </w:r>
    </w:p>
    <w:p>
      <w:pPr>
        <w:pStyle w:val="0"/>
        <w:spacing w:before="200" w:line-rule="auto"/>
        <w:ind w:firstLine="540"/>
        <w:jc w:val="both"/>
      </w:pPr>
      <w:r>
        <w:rPr>
          <w:sz w:val="20"/>
        </w:rPr>
        <w:t xml:space="preserve">Возврат остатка гранта осуществляется в течение 10 рабочих дней с даты получения уведомления. В случае невозврата остатка гранта в указанный срок Департамент принимает меры по взысканию подлежащего возврату остатка гранта в областной бюджет в судебном порядке.</w:t>
      </w:r>
    </w:p>
    <w:p>
      <w:pPr>
        <w:pStyle w:val="0"/>
        <w:spacing w:before="200" w:line-rule="auto"/>
        <w:ind w:firstLine="540"/>
        <w:jc w:val="both"/>
      </w:pPr>
      <w:r>
        <w:rPr>
          <w:sz w:val="20"/>
        </w:rPr>
        <w:t xml:space="preserve">4.3. Департамент вправе устанавливать в Соглашении сроки и формы представления некоммерческой организацией дополнительной отчетности.</w:t>
      </w:r>
    </w:p>
    <w:p>
      <w:pPr>
        <w:pStyle w:val="0"/>
        <w:spacing w:before="200" w:line-rule="auto"/>
        <w:ind w:firstLine="540"/>
        <w:jc w:val="both"/>
      </w:pPr>
      <w:r>
        <w:rPr>
          <w:sz w:val="20"/>
        </w:rPr>
        <w:t xml:space="preserve">4.4. Получатель гранта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Некоммерческие организации обязаны использовать грант на цель, указанную в </w:t>
      </w:r>
      <w:hyperlink w:history="0" w:anchor="P37" w:tooltip="1.2. Целью предоставления гранта является финансовое обеспечение затрат некоммерческой организации, осуществляющей деятельность в сфере театрального искусства на территории Воронежской области (далее - некоммерческая организация, участник конкурса), на реализацию творческого проекта по направлению, указанному в подпункте 1 пункта 3.3 настоящего Порядка (далее - творческий проект), разработанного некоммерческой организацией, в рамках реализации основного мероприятия 1.4 &quot;Поддержка творческих инициатив нас...">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5.2. Департамент обеспечивает целевой характер использования бюджетных средств и осуществляет контроль за целевым использованием гранта.</w:t>
      </w:r>
    </w:p>
    <w:p>
      <w:pPr>
        <w:pStyle w:val="0"/>
        <w:spacing w:before="200" w:line-rule="auto"/>
        <w:ind w:firstLine="540"/>
        <w:jc w:val="both"/>
      </w:pPr>
      <w:r>
        <w:rPr>
          <w:sz w:val="20"/>
        </w:rPr>
        <w:t xml:space="preserve">Некоммерческая организация несет ответственность за целевое использование гранта, соблюдение условий и порядка его предоставления, а также за достоверность представленной в Департамент информации и отчетности.</w:t>
      </w:r>
    </w:p>
    <w:p>
      <w:pPr>
        <w:pStyle w:val="0"/>
        <w:spacing w:before="200" w:line-rule="auto"/>
        <w:ind w:firstLine="540"/>
        <w:jc w:val="both"/>
      </w:pPr>
      <w:r>
        <w:rPr>
          <w:sz w:val="20"/>
        </w:rPr>
        <w:t xml:space="preserve">5.3. Департамент осуществляет проверку соблюдения получателем гранта порядка и условий предоставления гранта, в том числе в части достижения результата его предоставления, а органы государственного финансового контроля осуществляют проверки в соответствии со </w:t>
      </w:r>
      <w:hyperlink w:history="0" r:id="rId14"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w:t>
      </w:r>
      <w:hyperlink w:history="0" r:id="rId15"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bookmarkStart w:id="218" w:name="P218"/>
    <w:bookmarkEnd w:id="218"/>
    <w:p>
      <w:pPr>
        <w:pStyle w:val="0"/>
        <w:spacing w:before="200" w:line-rule="auto"/>
        <w:ind w:firstLine="540"/>
        <w:jc w:val="both"/>
      </w:pPr>
      <w:r>
        <w:rPr>
          <w:sz w:val="20"/>
        </w:rPr>
        <w:t xml:space="preserve">5.4. В случае нарушения некоммерческой организацией условий, установленных при предоставлении гранта,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некоммерческой организации и (или) поставщику требование о возврате средств гранта и (или) средств, полученных на основании договоров, заключенных с некоммерческой организацией, в областной бюджет.</w:t>
      </w:r>
    </w:p>
    <w:p>
      <w:pPr>
        <w:pStyle w:val="0"/>
        <w:spacing w:before="200" w:line-rule="auto"/>
        <w:ind w:firstLine="540"/>
        <w:jc w:val="both"/>
      </w:pPr>
      <w:r>
        <w:rPr>
          <w:sz w:val="20"/>
        </w:rPr>
        <w:t xml:space="preserve">Средства гранта и (или) средства, полученные на основании договоров, заключенных с некоммерческой организацией, подлежат возврату некоммерческой организацией и (или) поставщиком в областной бюджет:</w:t>
      </w:r>
    </w:p>
    <w:p>
      <w:pPr>
        <w:pStyle w:val="0"/>
        <w:spacing w:before="200" w:line-rule="auto"/>
        <w:ind w:firstLine="540"/>
        <w:jc w:val="both"/>
      </w:pPr>
      <w:r>
        <w:rPr>
          <w:sz w:val="20"/>
        </w:rPr>
        <w:t xml:space="preserve">- на основании требования Департамента - в течение 30 календарных дней с даты получения требования;</w:t>
      </w:r>
    </w:p>
    <w:p>
      <w:pPr>
        <w:pStyle w:val="0"/>
        <w:spacing w:before="200" w:line-rule="auto"/>
        <w:ind w:firstLine="540"/>
        <w:jc w:val="both"/>
      </w:pPr>
      <w:r>
        <w:rPr>
          <w:sz w:val="20"/>
        </w:rPr>
        <w:t xml:space="preserve">- на основании представления и (или) предписания органа государственного финансового контроля Воронежской области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5.5. В случае если некоммерческой организацией не достигнуто значение результата предоставления гранта, установленное в Соглашении, грант подлежит возврату в областной бюджет в полном объеме.</w:t>
      </w:r>
    </w:p>
    <w:p>
      <w:pPr>
        <w:pStyle w:val="0"/>
        <w:spacing w:before="200" w:line-rule="auto"/>
        <w:ind w:firstLine="540"/>
        <w:jc w:val="both"/>
      </w:pPr>
      <w:r>
        <w:rPr>
          <w:sz w:val="20"/>
        </w:rPr>
        <w:t xml:space="preserve">5.6. При нарушении срока возврата гранта некоммерческой организацией Департамент принимает меры по взысканию указанных средств в областной бюджет в установленном законодательством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гранта в форме</w:t>
      </w:r>
    </w:p>
    <w:p>
      <w:pPr>
        <w:pStyle w:val="0"/>
        <w:jc w:val="right"/>
      </w:pPr>
      <w:r>
        <w:rPr>
          <w:sz w:val="20"/>
        </w:rPr>
        <w:t xml:space="preserve">субсидии на развитие деятельности</w:t>
      </w:r>
    </w:p>
    <w:p>
      <w:pPr>
        <w:pStyle w:val="0"/>
        <w:jc w:val="right"/>
      </w:pPr>
      <w:r>
        <w:rPr>
          <w:sz w:val="20"/>
        </w:rPr>
        <w:t xml:space="preserve">негосударственных организаций</w:t>
      </w:r>
    </w:p>
    <w:p>
      <w:pPr>
        <w:pStyle w:val="0"/>
        <w:jc w:val="right"/>
      </w:pPr>
      <w:r>
        <w:rPr>
          <w:sz w:val="20"/>
        </w:rPr>
        <w:t xml:space="preserve">в сфере театрального искусства</w:t>
      </w:r>
    </w:p>
    <w:p>
      <w:pPr>
        <w:pStyle w:val="0"/>
        <w:jc w:val="right"/>
      </w:pPr>
      <w:r>
        <w:rPr>
          <w:sz w:val="20"/>
        </w:rPr>
        <w:t xml:space="preserve">Воронежской области в 2022 году</w:t>
      </w:r>
    </w:p>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737"/>
        <w:gridCol w:w="2268"/>
        <w:gridCol w:w="2608"/>
        <w:gridCol w:w="322"/>
        <w:gridCol w:w="3136"/>
      </w:tblGrid>
      <w:tr>
        <w:tblPrEx>
          <w:tblBorders>
            <w:left w:val="nil"/>
            <w:right w:val="nil"/>
            <w:insideH w:val="nil"/>
          </w:tblBorders>
        </w:tblPrEx>
        <w:tc>
          <w:tcPr>
            <w:gridSpan w:val="5"/>
            <w:tcW w:w="9071" w:type="dxa"/>
            <w:tcBorders>
              <w:top w:val="nil"/>
              <w:left w:val="nil"/>
              <w:bottom w:val="nil"/>
              <w:right w:val="nil"/>
            </w:tcBorders>
          </w:tcPr>
          <w:bookmarkStart w:id="237" w:name="P237"/>
          <w:bookmarkEnd w:id="237"/>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 гранта в форме субсидии</w:t>
            </w:r>
          </w:p>
          <w:p>
            <w:pPr>
              <w:pStyle w:val="0"/>
              <w:jc w:val="center"/>
            </w:pPr>
            <w:r>
              <w:rPr>
                <w:sz w:val="20"/>
              </w:rPr>
              <w:t xml:space="preserve">на развитие деятельности негосударственных организаций в сфере</w:t>
            </w:r>
          </w:p>
          <w:p>
            <w:pPr>
              <w:pStyle w:val="0"/>
              <w:jc w:val="center"/>
            </w:pPr>
            <w:r>
              <w:rPr>
                <w:sz w:val="20"/>
              </w:rPr>
              <w:t xml:space="preserve">театрального искусства Воронежской области</w:t>
            </w:r>
          </w:p>
        </w:tc>
      </w:tr>
      <w:tr>
        <w:tblPrEx>
          <w:tblBorders>
            <w:left w:val="nil"/>
            <w:right w:val="nil"/>
            <w:insideH w:val="nil"/>
          </w:tblBorders>
        </w:tblPrEx>
        <w:tc>
          <w:tcPr>
            <w:gridSpan w:val="5"/>
            <w:tcW w:w="9071" w:type="dxa"/>
            <w:tcBorders>
              <w:top w:val="nil"/>
              <w:left w:val="nil"/>
              <w:bottom w:val="nil"/>
              <w:right w:val="nil"/>
            </w:tcBorders>
          </w:tcPr>
          <w:p>
            <w:pPr>
              <w:pStyle w:val="0"/>
              <w:jc w:val="center"/>
            </w:pPr>
            <w:r>
              <w:rPr>
                <w:sz w:val="20"/>
              </w:rPr>
              <w:t xml:space="preserve">_________________________________________________________________________</w:t>
            </w:r>
          </w:p>
          <w:p>
            <w:pPr>
              <w:pStyle w:val="0"/>
              <w:jc w:val="center"/>
            </w:pPr>
            <w:r>
              <w:rPr>
                <w:sz w:val="20"/>
              </w:rPr>
              <w:t xml:space="preserve">(полное наименование юридического лица)</w:t>
            </w:r>
          </w:p>
        </w:tc>
      </w:tr>
      <w:tr>
        <w:tblPrEx>
          <w:tblBorders>
            <w:left w:val="nil"/>
            <w:right w:val="nil"/>
            <w:insideH w:val="nil"/>
          </w:tblBorders>
        </w:tblPrEx>
        <w:tc>
          <w:tcPr>
            <w:gridSpan w:val="5"/>
            <w:tcW w:w="9071" w:type="dxa"/>
            <w:tcBorders>
              <w:top w:val="nil"/>
              <w:left w:val="nil"/>
              <w:right w:val="nil"/>
            </w:tcBorders>
          </w:tcPr>
          <w:p>
            <w:pPr>
              <w:pStyle w:val="0"/>
              <w:jc w:val="center"/>
            </w:pPr>
            <w:r>
              <w:rPr>
                <w:sz w:val="20"/>
              </w:rPr>
              <w:t xml:space="preserve">(далее - организация) в лице _________________________________________________</w:t>
            </w:r>
          </w:p>
          <w:p>
            <w:pPr>
              <w:pStyle w:val="0"/>
              <w:jc w:val="center"/>
            </w:pPr>
            <w:r>
              <w:rPr>
                <w:sz w:val="20"/>
              </w:rPr>
              <w:t xml:space="preserve">(Ф.И.О. руководителя (полностью))</w:t>
            </w:r>
          </w:p>
        </w:tc>
      </w:tr>
      <w:tr>
        <w:tc>
          <w:tcPr>
            <w:gridSpan w:val="3"/>
            <w:tcW w:w="5613" w:type="dxa"/>
          </w:tcPr>
          <w:p>
            <w:pPr>
              <w:pStyle w:val="0"/>
            </w:pPr>
            <w:r>
              <w:rPr>
                <w:sz w:val="20"/>
              </w:rPr>
              <w:t xml:space="preserve">Дата внесения записи в ЕГРЮЛ о регистрации юридического лица</w:t>
            </w:r>
          </w:p>
        </w:tc>
        <w:tc>
          <w:tcPr>
            <w:gridSpan w:val="2"/>
            <w:tcW w:w="3458" w:type="dxa"/>
          </w:tcPr>
          <w:p>
            <w:pPr>
              <w:pStyle w:val="0"/>
            </w:pPr>
            <w:r>
              <w:rPr>
                <w:sz w:val="20"/>
              </w:rPr>
            </w:r>
          </w:p>
        </w:tc>
      </w:tr>
      <w:tr>
        <w:tc>
          <w:tcPr>
            <w:gridSpan w:val="3"/>
            <w:tcW w:w="5613" w:type="dxa"/>
          </w:tcPr>
          <w:p>
            <w:pPr>
              <w:pStyle w:val="0"/>
            </w:pPr>
            <w:r>
              <w:rPr>
                <w:sz w:val="20"/>
              </w:rPr>
              <w:t xml:space="preserve">ИНН</w:t>
            </w:r>
          </w:p>
        </w:tc>
        <w:tc>
          <w:tcPr>
            <w:gridSpan w:val="2"/>
            <w:tcW w:w="3458" w:type="dxa"/>
          </w:tcPr>
          <w:p>
            <w:pPr>
              <w:pStyle w:val="0"/>
            </w:pPr>
            <w:r>
              <w:rPr>
                <w:sz w:val="20"/>
              </w:rPr>
            </w:r>
          </w:p>
        </w:tc>
      </w:tr>
      <w:tr>
        <w:tc>
          <w:tcPr>
            <w:gridSpan w:val="3"/>
            <w:tcW w:w="5613" w:type="dxa"/>
          </w:tcPr>
          <w:p>
            <w:pPr>
              <w:pStyle w:val="0"/>
            </w:pPr>
            <w:r>
              <w:rPr>
                <w:sz w:val="20"/>
              </w:rPr>
              <w:t xml:space="preserve">ОГРН</w:t>
            </w:r>
          </w:p>
        </w:tc>
        <w:tc>
          <w:tcPr>
            <w:gridSpan w:val="2"/>
            <w:tcW w:w="3458" w:type="dxa"/>
          </w:tcPr>
          <w:p>
            <w:pPr>
              <w:pStyle w:val="0"/>
            </w:pPr>
            <w:r>
              <w:rPr>
                <w:sz w:val="20"/>
              </w:rPr>
            </w:r>
          </w:p>
        </w:tc>
      </w:tr>
      <w:tr>
        <w:tc>
          <w:tcPr>
            <w:gridSpan w:val="3"/>
            <w:tcW w:w="5613" w:type="dxa"/>
          </w:tcPr>
          <w:p>
            <w:pPr>
              <w:pStyle w:val="0"/>
            </w:pPr>
            <w:r>
              <w:rPr>
                <w:sz w:val="20"/>
              </w:rPr>
              <w:t xml:space="preserve">КПП</w:t>
            </w:r>
          </w:p>
        </w:tc>
        <w:tc>
          <w:tcPr>
            <w:gridSpan w:val="2"/>
            <w:tcW w:w="3458" w:type="dxa"/>
          </w:tcPr>
          <w:p>
            <w:pPr>
              <w:pStyle w:val="0"/>
            </w:pPr>
            <w:r>
              <w:rPr>
                <w:sz w:val="20"/>
              </w:rPr>
            </w:r>
          </w:p>
        </w:tc>
      </w:tr>
      <w:tr>
        <w:tc>
          <w:tcPr>
            <w:gridSpan w:val="3"/>
            <w:tcW w:w="5613" w:type="dxa"/>
          </w:tcPr>
          <w:p>
            <w:pPr>
              <w:pStyle w:val="0"/>
            </w:pPr>
            <w:r>
              <w:rPr>
                <w:sz w:val="20"/>
              </w:rPr>
              <w:t xml:space="preserve">Юридический адрес</w:t>
            </w:r>
          </w:p>
        </w:tc>
        <w:tc>
          <w:tcPr>
            <w:gridSpan w:val="2"/>
            <w:tcW w:w="3458" w:type="dxa"/>
          </w:tcPr>
          <w:p>
            <w:pPr>
              <w:pStyle w:val="0"/>
            </w:pPr>
            <w:r>
              <w:rPr>
                <w:sz w:val="20"/>
              </w:rPr>
            </w:r>
          </w:p>
        </w:tc>
      </w:tr>
      <w:tr>
        <w:tc>
          <w:tcPr>
            <w:gridSpan w:val="3"/>
            <w:tcW w:w="5613" w:type="dxa"/>
          </w:tcPr>
          <w:p>
            <w:pPr>
              <w:pStyle w:val="0"/>
            </w:pPr>
            <w:r>
              <w:rPr>
                <w:sz w:val="20"/>
              </w:rPr>
              <w:t xml:space="preserve">Банковские реквизиты:</w:t>
            </w:r>
          </w:p>
          <w:p>
            <w:pPr>
              <w:pStyle w:val="0"/>
            </w:pPr>
            <w:r>
              <w:rPr>
                <w:sz w:val="20"/>
              </w:rPr>
              <w:t xml:space="preserve">Наименование банка получателя</w:t>
            </w:r>
          </w:p>
          <w:p>
            <w:pPr>
              <w:pStyle w:val="0"/>
            </w:pPr>
            <w:r>
              <w:rPr>
                <w:sz w:val="20"/>
              </w:rPr>
              <w:t xml:space="preserve">Корреспондентский счет</w:t>
            </w:r>
          </w:p>
          <w:p>
            <w:pPr>
              <w:pStyle w:val="0"/>
            </w:pPr>
            <w:r>
              <w:rPr>
                <w:sz w:val="20"/>
              </w:rPr>
              <w:t xml:space="preserve">Расчетный счет</w:t>
            </w:r>
          </w:p>
          <w:p>
            <w:pPr>
              <w:pStyle w:val="0"/>
            </w:pPr>
            <w:r>
              <w:rPr>
                <w:sz w:val="20"/>
              </w:rPr>
              <w:t xml:space="preserve">БИК</w:t>
            </w:r>
          </w:p>
        </w:tc>
        <w:tc>
          <w:tcPr>
            <w:gridSpan w:val="2"/>
            <w:tcW w:w="3458" w:type="dxa"/>
          </w:tcPr>
          <w:p>
            <w:pPr>
              <w:pStyle w:val="0"/>
            </w:pPr>
            <w:r>
              <w:rPr>
                <w:sz w:val="20"/>
              </w:rPr>
            </w:r>
          </w:p>
        </w:tc>
      </w:tr>
      <w:tr>
        <w:tc>
          <w:tcPr>
            <w:gridSpan w:val="3"/>
            <w:tcW w:w="5613" w:type="dxa"/>
          </w:tcPr>
          <w:p>
            <w:pPr>
              <w:pStyle w:val="0"/>
            </w:pPr>
            <w:r>
              <w:rPr>
                <w:sz w:val="20"/>
              </w:rPr>
              <w:t xml:space="preserve">Код (коды) по общероссийскому классификатору внешнеэкономической деятельности </w:t>
            </w:r>
            <w:hyperlink w:history="0" r:id="rId1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gridSpan w:val="2"/>
            <w:tcW w:w="3458" w:type="dxa"/>
          </w:tcPr>
          <w:p>
            <w:pPr>
              <w:pStyle w:val="0"/>
            </w:pPr>
            <w:r>
              <w:rPr>
                <w:sz w:val="20"/>
              </w:rPr>
            </w:r>
          </w:p>
        </w:tc>
      </w:tr>
      <w:tr>
        <w:tc>
          <w:tcPr>
            <w:gridSpan w:val="3"/>
            <w:tcW w:w="5613" w:type="dxa"/>
          </w:tcPr>
          <w:p>
            <w:pPr>
              <w:pStyle w:val="0"/>
            </w:pPr>
            <w:r>
              <w:rPr>
                <w:sz w:val="20"/>
              </w:rPr>
              <w:t xml:space="preserve">Телефон</w:t>
            </w:r>
          </w:p>
        </w:tc>
        <w:tc>
          <w:tcPr>
            <w:gridSpan w:val="2"/>
            <w:tcW w:w="3458" w:type="dxa"/>
          </w:tcPr>
          <w:p>
            <w:pPr>
              <w:pStyle w:val="0"/>
            </w:pPr>
            <w:r>
              <w:rPr>
                <w:sz w:val="20"/>
              </w:rPr>
            </w:r>
          </w:p>
        </w:tc>
      </w:tr>
      <w:tr>
        <w:tc>
          <w:tcPr>
            <w:gridSpan w:val="3"/>
            <w:tcW w:w="5613" w:type="dxa"/>
          </w:tcPr>
          <w:p>
            <w:pPr>
              <w:pStyle w:val="0"/>
            </w:pPr>
            <w:r>
              <w:rPr>
                <w:sz w:val="20"/>
              </w:rPr>
              <w:t xml:space="preserve">Адрес электронной почты</w:t>
            </w:r>
          </w:p>
        </w:tc>
        <w:tc>
          <w:tcPr>
            <w:gridSpan w:val="2"/>
            <w:tcW w:w="3458" w:type="dxa"/>
          </w:tcPr>
          <w:p>
            <w:pPr>
              <w:pStyle w:val="0"/>
            </w:pPr>
            <w:r>
              <w:rPr>
                <w:sz w:val="20"/>
              </w:rPr>
            </w:r>
          </w:p>
        </w:tc>
      </w:tr>
      <w:tr>
        <w:tblPrEx>
          <w:tblBorders>
            <w:left w:val="nil"/>
            <w:right w:val="nil"/>
            <w:insideH w:val="nil"/>
          </w:tblBorders>
        </w:tblPrEx>
        <w:tc>
          <w:tcPr>
            <w:gridSpan w:val="5"/>
            <w:tcW w:w="9071" w:type="dxa"/>
            <w:tcBorders>
              <w:left w:val="nil"/>
              <w:bottom w:val="nil"/>
              <w:right w:val="nil"/>
            </w:tcBorders>
          </w:tcPr>
          <w:p>
            <w:pPr>
              <w:pStyle w:val="0"/>
              <w:jc w:val="both"/>
            </w:pPr>
            <w:r>
              <w:rPr>
                <w:sz w:val="20"/>
              </w:rPr>
              <w:t xml:space="preserve">направляет на рассмотрение пакет документов для участия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w:t>
            </w:r>
          </w:p>
          <w:p>
            <w:pPr>
              <w:pStyle w:val="0"/>
              <w:ind w:firstLine="283"/>
              <w:jc w:val="both"/>
            </w:pPr>
            <w:r>
              <w:rPr>
                <w:sz w:val="20"/>
              </w:rPr>
              <w:t xml:space="preserve">Настоящим подтверждаю, что организация соответствует требованиям, установленным </w:t>
            </w:r>
            <w:hyperlink w:history="0" w:anchor="P40" w:tooltip="1.4. Право на получение гранта имеет одна некоммерческая организация, победившая в конкурсном отборе на предоставление гранта в форме субсидии на развитие деятельности негосударственных организаций в сфере театрального искусства Воронежской области (далее - конкурс) и соответствующая следующим требованиям:">
              <w:r>
                <w:rPr>
                  <w:sz w:val="20"/>
                  <w:color w:val="0000ff"/>
                </w:rPr>
                <w:t xml:space="preserve">пунктом 1.4</w:t>
              </w:r>
            </w:hyperlink>
            <w:r>
              <w:rPr>
                <w:sz w:val="20"/>
              </w:rPr>
              <w:t xml:space="preserve"> Порядка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2022 году (далее - Порядок).</w:t>
            </w:r>
          </w:p>
          <w:p>
            <w:pPr>
              <w:pStyle w:val="0"/>
              <w:ind w:firstLine="283"/>
              <w:jc w:val="both"/>
            </w:pPr>
            <w:r>
              <w:rPr>
                <w:sz w:val="20"/>
              </w:rPr>
              <w:t xml:space="preserve">В соответствии с Порядком к заявлению прилагаются следующие документы:</w:t>
            </w:r>
          </w:p>
        </w:tc>
      </w:tr>
      <w:tr>
        <w:tblPrEx>
          <w:tblBorders>
            <w:left w:val="nil"/>
            <w:right w:val="nil"/>
            <w:insideH w:val="nil"/>
          </w:tblBorders>
        </w:tblPrEx>
        <w:tc>
          <w:tcPr>
            <w:gridSpan w:val="5"/>
            <w:tcW w:w="9071" w:type="dxa"/>
            <w:tcBorders>
              <w:top w:val="nil"/>
              <w:left w:val="nil"/>
              <w:bottom w:val="nil"/>
              <w:right w:val="nil"/>
            </w:tcBorders>
          </w:tcPr>
          <w:p>
            <w:pPr>
              <w:pStyle w:val="0"/>
              <w:jc w:val="center"/>
            </w:pPr>
            <w:r>
              <w:rPr>
                <w:sz w:val="20"/>
              </w:rPr>
              <w:t xml:space="preserve">Опись прилагаемых документов</w:t>
            </w:r>
          </w:p>
        </w:tc>
      </w:tr>
      <w:tr>
        <w:tblPrEx>
          <w:tblBorders>
            <w:left w:val="nil"/>
            <w:right w:val="nil"/>
            <w:insideH w:val="nil"/>
          </w:tblBorders>
        </w:tblPrEx>
        <w:tc>
          <w:tcPr>
            <w:gridSpan w:val="5"/>
            <w:tcW w:w="9071" w:type="dxa"/>
            <w:tcBorders>
              <w:top w:val="nil"/>
              <w:left w:val="nil"/>
              <w:right w:val="nil"/>
            </w:tcBorders>
          </w:tcPr>
          <w:p>
            <w:pPr>
              <w:pStyle w:val="0"/>
            </w:pPr>
            <w:r>
              <w:rPr>
                <w:sz w:val="20"/>
              </w:rPr>
            </w:r>
          </w:p>
        </w:tc>
      </w:tr>
      <w:tr>
        <w:tc>
          <w:tcPr>
            <w:tcW w:w="737" w:type="dxa"/>
          </w:tcPr>
          <w:p>
            <w:pPr>
              <w:pStyle w:val="0"/>
              <w:jc w:val="center"/>
            </w:pPr>
            <w:r>
              <w:rPr>
                <w:sz w:val="20"/>
              </w:rPr>
              <w:t xml:space="preserve">N п/п</w:t>
            </w:r>
          </w:p>
        </w:tc>
        <w:tc>
          <w:tcPr>
            <w:gridSpan w:val="3"/>
            <w:tcW w:w="5198" w:type="dxa"/>
          </w:tcPr>
          <w:p>
            <w:pPr>
              <w:pStyle w:val="0"/>
              <w:jc w:val="center"/>
            </w:pPr>
            <w:r>
              <w:rPr>
                <w:sz w:val="20"/>
              </w:rPr>
              <w:t xml:space="preserve">Наименование документа</w:t>
            </w:r>
          </w:p>
        </w:tc>
        <w:tc>
          <w:tcPr>
            <w:tcW w:w="3136" w:type="dxa"/>
          </w:tcPr>
          <w:p>
            <w:pPr>
              <w:pStyle w:val="0"/>
              <w:jc w:val="center"/>
            </w:pPr>
            <w:r>
              <w:rPr>
                <w:sz w:val="20"/>
              </w:rPr>
              <w:t xml:space="preserve">Количество листов</w:t>
            </w:r>
          </w:p>
        </w:tc>
      </w:tr>
      <w:tr>
        <w:tc>
          <w:tcPr>
            <w:tcW w:w="737" w:type="dxa"/>
          </w:tcPr>
          <w:p>
            <w:pPr>
              <w:pStyle w:val="0"/>
            </w:pPr>
            <w:r>
              <w:rPr>
                <w:sz w:val="20"/>
              </w:rPr>
            </w:r>
          </w:p>
        </w:tc>
        <w:tc>
          <w:tcPr>
            <w:gridSpan w:val="3"/>
            <w:tcW w:w="5198" w:type="dxa"/>
          </w:tcPr>
          <w:p>
            <w:pPr>
              <w:pStyle w:val="0"/>
            </w:pPr>
            <w:r>
              <w:rPr>
                <w:sz w:val="20"/>
              </w:rPr>
            </w:r>
          </w:p>
        </w:tc>
        <w:tc>
          <w:tcPr>
            <w:tcW w:w="3136" w:type="dxa"/>
          </w:tcPr>
          <w:p>
            <w:pPr>
              <w:pStyle w:val="0"/>
            </w:pPr>
            <w:r>
              <w:rPr>
                <w:sz w:val="20"/>
              </w:rPr>
            </w:r>
          </w:p>
        </w:tc>
      </w:tr>
      <w:tr>
        <w:tc>
          <w:tcPr>
            <w:tcW w:w="737" w:type="dxa"/>
          </w:tcPr>
          <w:p>
            <w:pPr>
              <w:pStyle w:val="0"/>
            </w:pPr>
            <w:r>
              <w:rPr>
                <w:sz w:val="20"/>
              </w:rPr>
            </w:r>
          </w:p>
        </w:tc>
        <w:tc>
          <w:tcPr>
            <w:gridSpan w:val="3"/>
            <w:tcW w:w="5198" w:type="dxa"/>
          </w:tcPr>
          <w:p>
            <w:pPr>
              <w:pStyle w:val="0"/>
            </w:pPr>
            <w:r>
              <w:rPr>
                <w:sz w:val="20"/>
              </w:rPr>
            </w:r>
          </w:p>
        </w:tc>
        <w:tc>
          <w:tcPr>
            <w:tcW w:w="3136" w:type="dxa"/>
          </w:tcPr>
          <w:p>
            <w:pPr>
              <w:pStyle w:val="0"/>
            </w:pPr>
            <w:r>
              <w:rPr>
                <w:sz w:val="20"/>
              </w:rPr>
            </w:r>
          </w:p>
        </w:tc>
      </w:tr>
      <w:tr>
        <w:tblPrEx>
          <w:tblBorders>
            <w:left w:val="nil"/>
            <w:right w:val="nil"/>
            <w:insideH w:val="nil"/>
          </w:tblBorders>
        </w:tblPrEx>
        <w:tc>
          <w:tcPr>
            <w:gridSpan w:val="5"/>
            <w:tcW w:w="9071" w:type="dxa"/>
            <w:tcBorders>
              <w:left w:val="nil"/>
              <w:bottom w:val="nil"/>
              <w:right w:val="nil"/>
            </w:tcBorders>
          </w:tcPr>
          <w:p>
            <w:pPr>
              <w:pStyle w:val="0"/>
            </w:pPr>
            <w:r>
              <w:rPr>
                <w:sz w:val="20"/>
              </w:rPr>
            </w:r>
          </w:p>
        </w:tc>
      </w:tr>
      <w:tr>
        <w:tblPrEx>
          <w:tblBorders>
            <w:left w:val="nil"/>
            <w:right w:val="nil"/>
            <w:insideH w:val="nil"/>
          </w:tblBorders>
        </w:tblPrEx>
        <w:tc>
          <w:tcPr>
            <w:gridSpan w:val="5"/>
            <w:tcW w:w="9071" w:type="dxa"/>
            <w:tcBorders>
              <w:top w:val="nil"/>
              <w:left w:val="nil"/>
              <w:bottom w:val="nil"/>
              <w:right w:val="nil"/>
            </w:tcBorders>
          </w:tcPr>
          <w:p>
            <w:pPr>
              <w:pStyle w:val="0"/>
              <w:ind w:firstLine="709"/>
              <w:jc w:val="both"/>
            </w:pPr>
            <w:r>
              <w:rPr>
                <w:sz w:val="20"/>
              </w:rPr>
              <w:t xml:space="preserve">Даю согласие на публикацию (размещение) в информационно-телекоммуникационной сети "Интернет" информации об организации, о подаваемых организацией заявке и документах, иной информации об организации, связанной с конкурсом.</w:t>
            </w:r>
          </w:p>
          <w:p>
            <w:pPr>
              <w:pStyle w:val="0"/>
              <w:ind w:firstLine="709"/>
              <w:jc w:val="both"/>
            </w:pPr>
            <w:r>
              <w:rPr>
                <w:sz w:val="20"/>
              </w:rPr>
              <w:t xml:space="preserve">Полноту и достоверность сведений, представленных документов, подтверждаю.</w:t>
            </w:r>
          </w:p>
        </w:tc>
      </w:tr>
      <w:tr>
        <w:tblPrEx>
          <w:tblBorders>
            <w:left w:val="nil"/>
            <w:right w:val="nil"/>
            <w:insideV w:val="nil"/>
            <w:insideH w:val="nil"/>
          </w:tblBorders>
        </w:tblPrEx>
        <w:tc>
          <w:tcPr>
            <w:gridSpan w:val="2"/>
            <w:tcW w:w="3005" w:type="dxa"/>
            <w:tcBorders>
              <w:top w:val="nil"/>
              <w:bottom w:val="nil"/>
            </w:tcBorders>
          </w:tcPr>
          <w:p>
            <w:pPr>
              <w:pStyle w:val="0"/>
              <w:jc w:val="center"/>
            </w:pPr>
            <w:r>
              <w:rPr>
                <w:sz w:val="20"/>
              </w:rPr>
              <w:t xml:space="preserve">_______________________</w:t>
            </w:r>
          </w:p>
          <w:p>
            <w:pPr>
              <w:pStyle w:val="0"/>
              <w:jc w:val="center"/>
            </w:pPr>
            <w:r>
              <w:rPr>
                <w:sz w:val="20"/>
              </w:rPr>
              <w:t xml:space="preserve">(должность руководителя)</w:t>
            </w:r>
          </w:p>
        </w:tc>
        <w:tc>
          <w:tcPr>
            <w:gridSpan w:val="2"/>
            <w:tcW w:w="2930" w:type="dxa"/>
            <w:tcBorders>
              <w:top w:val="nil"/>
              <w:bottom w:val="nil"/>
            </w:tcBorders>
          </w:tcPr>
          <w:p>
            <w:pPr>
              <w:pStyle w:val="0"/>
              <w:jc w:val="center"/>
            </w:pPr>
            <w:r>
              <w:rPr>
                <w:sz w:val="20"/>
              </w:rPr>
              <w:t xml:space="preserve">_____________________</w:t>
            </w:r>
          </w:p>
          <w:p>
            <w:pPr>
              <w:pStyle w:val="0"/>
              <w:jc w:val="center"/>
            </w:pPr>
            <w:r>
              <w:rPr>
                <w:sz w:val="20"/>
              </w:rPr>
              <w:t xml:space="preserve">(подпись руководителя)</w:t>
            </w:r>
          </w:p>
        </w:tc>
        <w:tc>
          <w:tcPr>
            <w:tcW w:w="3136" w:type="dxa"/>
            <w:tcBorders>
              <w:top w:val="nil"/>
              <w:bottom w:val="nil"/>
            </w:tcBorders>
          </w:tcPr>
          <w:p>
            <w:pPr>
              <w:pStyle w:val="0"/>
              <w:jc w:val="center"/>
            </w:pPr>
            <w:r>
              <w:rPr>
                <w:sz w:val="20"/>
              </w:rPr>
              <w:t xml:space="preserve">_________________________</w:t>
            </w:r>
          </w:p>
          <w:p>
            <w:pPr>
              <w:pStyle w:val="0"/>
              <w:jc w:val="center"/>
            </w:pPr>
            <w:r>
              <w:rPr>
                <w:sz w:val="20"/>
              </w:rPr>
              <w:t xml:space="preserve">(фамилия, имя, отчество</w:t>
            </w:r>
          </w:p>
          <w:p>
            <w:pPr>
              <w:pStyle w:val="0"/>
              <w:jc w:val="center"/>
            </w:pPr>
            <w:r>
              <w:rPr>
                <w:sz w:val="20"/>
              </w:rPr>
              <w:t xml:space="preserve">руководителя)</w:t>
            </w:r>
          </w:p>
        </w:tc>
      </w:tr>
      <w:tr>
        <w:tblPrEx>
          <w:tblBorders>
            <w:left w:val="nil"/>
            <w:right w:val="nil"/>
            <w:insideH w:val="nil"/>
          </w:tblBorders>
        </w:tblPrEx>
        <w:tc>
          <w:tcPr>
            <w:gridSpan w:val="5"/>
            <w:tcW w:w="9071" w:type="dxa"/>
            <w:tcBorders>
              <w:top w:val="nil"/>
              <w:left w:val="nil"/>
              <w:bottom w:val="nil"/>
              <w:right w:val="nil"/>
            </w:tcBorders>
          </w:tcPr>
          <w:p>
            <w:pPr>
              <w:pStyle w:val="0"/>
              <w:jc w:val="both"/>
            </w:pPr>
            <w:r>
              <w:rPr>
                <w:sz w:val="20"/>
              </w:rPr>
              <w:t xml:space="preserve">"___" 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гранта в форме</w:t>
      </w:r>
    </w:p>
    <w:p>
      <w:pPr>
        <w:pStyle w:val="0"/>
        <w:jc w:val="right"/>
      </w:pPr>
      <w:r>
        <w:rPr>
          <w:sz w:val="20"/>
        </w:rPr>
        <w:t xml:space="preserve">субсидии на развитие деятельности</w:t>
      </w:r>
    </w:p>
    <w:p>
      <w:pPr>
        <w:pStyle w:val="0"/>
        <w:jc w:val="right"/>
      </w:pPr>
      <w:r>
        <w:rPr>
          <w:sz w:val="20"/>
        </w:rPr>
        <w:t xml:space="preserve">негосударственных организаций</w:t>
      </w:r>
    </w:p>
    <w:p>
      <w:pPr>
        <w:pStyle w:val="0"/>
        <w:jc w:val="right"/>
      </w:pPr>
      <w:r>
        <w:rPr>
          <w:sz w:val="20"/>
        </w:rPr>
        <w:t xml:space="preserve">в сфере театрального искусства</w:t>
      </w:r>
    </w:p>
    <w:p>
      <w:pPr>
        <w:pStyle w:val="0"/>
        <w:jc w:val="right"/>
      </w:pPr>
      <w:r>
        <w:rPr>
          <w:sz w:val="20"/>
        </w:rPr>
        <w:t xml:space="preserve">Воронежской области в 2022 году</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794"/>
        <w:gridCol w:w="3402"/>
        <w:gridCol w:w="2494"/>
        <w:gridCol w:w="2381"/>
      </w:tblGrid>
      <w:tr>
        <w:tblPrEx>
          <w:tblBorders>
            <w:insideH w:val="nil"/>
          </w:tblBorders>
        </w:tblPrEx>
        <w:tc>
          <w:tcPr>
            <w:gridSpan w:val="4"/>
            <w:tcW w:w="9071" w:type="dxa"/>
            <w:tcBorders>
              <w:top w:val="nil"/>
              <w:left w:val="nil"/>
              <w:bottom w:val="nil"/>
              <w:right w:val="nil"/>
            </w:tcBorders>
          </w:tcPr>
          <w:bookmarkStart w:id="305" w:name="P305"/>
          <w:bookmarkEnd w:id="305"/>
          <w:p>
            <w:pPr>
              <w:pStyle w:val="0"/>
              <w:jc w:val="center"/>
            </w:pPr>
            <w:r>
              <w:rPr>
                <w:sz w:val="20"/>
              </w:rPr>
              <w:t xml:space="preserve">Проект</w:t>
            </w:r>
          </w:p>
        </w:tc>
      </w:tr>
      <w:tr>
        <w:tblPrEx>
          <w:tblBorders>
            <w:insideH w:val="nil"/>
          </w:tblBorders>
        </w:tblPrEx>
        <w:tc>
          <w:tcPr>
            <w:gridSpan w:val="4"/>
            <w:tcW w:w="9071" w:type="dxa"/>
            <w:tcBorders>
              <w:top w:val="nil"/>
              <w:left w:val="nil"/>
              <w:bottom w:val="nil"/>
              <w:right w:val="nil"/>
            </w:tcBorders>
          </w:tcPr>
          <w:p>
            <w:pPr>
              <w:pStyle w:val="0"/>
              <w:jc w:val="center"/>
            </w:pPr>
            <w:r>
              <w:rPr>
                <w:sz w:val="20"/>
              </w:rPr>
              <w:t xml:space="preserve">Титульный лист:</w:t>
            </w:r>
          </w:p>
        </w:tc>
      </w:tr>
      <w:tr>
        <w:tblPrEx>
          <w:tblBorders>
            <w:insideH w:val="nil"/>
          </w:tblBorders>
        </w:tblPrEx>
        <w:tc>
          <w:tcPr>
            <w:gridSpan w:val="4"/>
            <w:tcW w:w="9071" w:type="dxa"/>
            <w:tcBorders>
              <w:top w:val="nil"/>
              <w:left w:val="nil"/>
              <w:bottom w:val="nil"/>
              <w:right w:val="nil"/>
            </w:tcBorders>
          </w:tcPr>
          <w:p>
            <w:pPr>
              <w:pStyle w:val="0"/>
              <w:jc w:val="center"/>
            </w:pPr>
            <w:r>
              <w:rPr>
                <w:sz w:val="20"/>
              </w:rPr>
              <w:t xml:space="preserve">Наименование проекта</w:t>
            </w:r>
          </w:p>
          <w:p>
            <w:pPr>
              <w:pStyle w:val="0"/>
              <w:jc w:val="center"/>
            </w:pPr>
            <w:r>
              <w:rPr>
                <w:sz w:val="20"/>
              </w:rPr>
              <w:t xml:space="preserve">в сфере театрального искусства</w:t>
            </w:r>
          </w:p>
        </w:tc>
      </w:tr>
      <w:tr>
        <w:tblPrEx>
          <w:tblBorders>
            <w:insideH w:val="nil"/>
          </w:tblBorders>
        </w:tblPrEx>
        <w:tc>
          <w:tcPr>
            <w:gridSpan w:val="4"/>
            <w:tcW w:w="9071" w:type="dxa"/>
            <w:tcBorders>
              <w:top w:val="nil"/>
              <w:left w:val="nil"/>
              <w:bottom w:val="nil"/>
              <w:right w:val="nil"/>
            </w:tcBorders>
          </w:tcPr>
          <w:p>
            <w:pPr>
              <w:pStyle w:val="0"/>
              <w:jc w:val="center"/>
            </w:pPr>
            <w:r>
              <w:rPr>
                <w:sz w:val="20"/>
              </w:rPr>
              <w:t xml:space="preserve">Наименование и адрес некоммерческой организации</w:t>
            </w:r>
          </w:p>
        </w:tc>
      </w:tr>
      <w:tr>
        <w:tblPrEx>
          <w:tblBorders>
            <w:insideH w:val="nil"/>
          </w:tblBorders>
        </w:tblPrEx>
        <w:tc>
          <w:tcPr>
            <w:gridSpan w:val="4"/>
            <w:tcW w:w="9071" w:type="dxa"/>
            <w:tcBorders>
              <w:top w:val="nil"/>
              <w:left w:val="nil"/>
              <w:bottom w:val="nil"/>
              <w:right w:val="nil"/>
            </w:tcBorders>
          </w:tcPr>
          <w:p>
            <w:pPr>
              <w:pStyle w:val="0"/>
              <w:ind w:firstLine="283"/>
              <w:jc w:val="both"/>
            </w:pPr>
            <w:r>
              <w:rPr>
                <w:sz w:val="20"/>
              </w:rPr>
              <w:t xml:space="preserve">Стоимость проекта:</w:t>
            </w:r>
          </w:p>
        </w:tc>
      </w:tr>
      <w:tr>
        <w:tblPrEx>
          <w:tblBorders>
            <w:insideH w:val="nil"/>
          </w:tblBorders>
        </w:tblPrEx>
        <w:tc>
          <w:tcPr>
            <w:gridSpan w:val="4"/>
            <w:tcW w:w="9071" w:type="dxa"/>
            <w:tcBorders>
              <w:top w:val="nil"/>
              <w:left w:val="nil"/>
              <w:bottom w:val="nil"/>
              <w:right w:val="nil"/>
            </w:tcBorders>
          </w:tcPr>
          <w:p>
            <w:pPr>
              <w:pStyle w:val="0"/>
              <w:ind w:firstLine="283"/>
              <w:jc w:val="both"/>
            </w:pPr>
            <w:r>
              <w:rPr>
                <w:sz w:val="20"/>
              </w:rPr>
              <w:t xml:space="preserve">Срок реализации проекта:</w:t>
            </w:r>
          </w:p>
        </w:tc>
      </w:tr>
      <w:tr>
        <w:tblPrEx>
          <w:tblBorders>
            <w:insideH w:val="nil"/>
          </w:tblBorders>
        </w:tblPrEx>
        <w:tc>
          <w:tcPr>
            <w:gridSpan w:val="4"/>
            <w:tcW w:w="9071" w:type="dxa"/>
            <w:tcBorders>
              <w:top w:val="nil"/>
              <w:left w:val="nil"/>
              <w:bottom w:val="nil"/>
              <w:right w:val="nil"/>
            </w:tcBorders>
          </w:tcPr>
          <w:p>
            <w:pPr>
              <w:pStyle w:val="0"/>
              <w:jc w:val="center"/>
            </w:pPr>
            <w:r>
              <w:rPr>
                <w:sz w:val="20"/>
              </w:rPr>
              <w:t xml:space="preserve">Разделы проекта:</w:t>
            </w:r>
          </w:p>
        </w:tc>
      </w:tr>
      <w:tr>
        <w:tblPrEx>
          <w:tblBorders>
            <w:insideH w:val="nil"/>
          </w:tblBorders>
        </w:tblPrEx>
        <w:tc>
          <w:tcPr>
            <w:gridSpan w:val="4"/>
            <w:tcW w:w="9071" w:type="dxa"/>
            <w:tcBorders>
              <w:top w:val="nil"/>
              <w:left w:val="nil"/>
              <w:right w:val="nil"/>
            </w:tcBorders>
          </w:tcPr>
          <w:p>
            <w:pPr>
              <w:pStyle w:val="0"/>
              <w:ind w:firstLine="283"/>
              <w:jc w:val="both"/>
            </w:pPr>
            <w:r>
              <w:rPr>
                <w:sz w:val="20"/>
              </w:rPr>
              <w:t xml:space="preserve">1. Виды деятельности некоммерческой организации, специализация и история развития.</w:t>
            </w:r>
          </w:p>
          <w:p>
            <w:pPr>
              <w:pStyle w:val="0"/>
              <w:ind w:firstLine="283"/>
              <w:jc w:val="both"/>
            </w:pPr>
            <w:r>
              <w:rPr>
                <w:sz w:val="20"/>
              </w:rPr>
              <w:t xml:space="preserve">2. Описание проекта, промежуточные и конечные результаты в рамках реализации проекта. Общий размер денежных средств, необходимых для реализации проекта. Наименования мероприятий, проведение которых необходимо для успешной реализации проекта. Социальная направленность проекта, значимость проекта для Воронежской области. Целевая группа участников (посетителей), их возраст, предполагаемое количество социальный статус.</w:t>
            </w:r>
          </w:p>
          <w:p>
            <w:pPr>
              <w:pStyle w:val="0"/>
              <w:ind w:firstLine="283"/>
              <w:jc w:val="both"/>
            </w:pPr>
            <w:r>
              <w:rPr>
                <w:sz w:val="20"/>
              </w:rPr>
              <w:t xml:space="preserve">3. Основная цель, задачи и концепция проекта.</w:t>
            </w:r>
          </w:p>
          <w:p>
            <w:pPr>
              <w:pStyle w:val="0"/>
              <w:ind w:firstLine="283"/>
              <w:jc w:val="both"/>
            </w:pPr>
            <w:r>
              <w:rPr>
                <w:sz w:val="20"/>
              </w:rPr>
              <w:t xml:space="preserve">4. Перспективы развития проекта.</w:t>
            </w:r>
          </w:p>
          <w:p>
            <w:pPr>
              <w:pStyle w:val="0"/>
              <w:ind w:firstLine="283"/>
              <w:jc w:val="both"/>
            </w:pPr>
            <w:r>
              <w:rPr>
                <w:sz w:val="20"/>
              </w:rPr>
              <w:t xml:space="preserve">4.1. Актуальность проекта.</w:t>
            </w:r>
          </w:p>
          <w:p>
            <w:pPr>
              <w:pStyle w:val="0"/>
              <w:ind w:firstLine="283"/>
              <w:jc w:val="both"/>
            </w:pPr>
            <w:r>
              <w:rPr>
                <w:sz w:val="20"/>
              </w:rPr>
              <w:t xml:space="preserve">4.2. Использование разработок в проекте, механизмы и средства достижения результатов.</w:t>
            </w:r>
          </w:p>
          <w:p>
            <w:pPr>
              <w:pStyle w:val="0"/>
              <w:ind w:firstLine="283"/>
              <w:jc w:val="both"/>
            </w:pPr>
            <w:r>
              <w:rPr>
                <w:sz w:val="20"/>
              </w:rPr>
              <w:t xml:space="preserve">4.3. Эффективность расходования финансовых средств, определение конкретных задач, на решение которых направлен проект, соотношение финансовых затрат и результата реализации проекта.</w:t>
            </w:r>
          </w:p>
          <w:p>
            <w:pPr>
              <w:pStyle w:val="0"/>
              <w:ind w:firstLine="283"/>
              <w:jc w:val="both"/>
            </w:pPr>
            <w:r>
              <w:rPr>
                <w:sz w:val="20"/>
              </w:rPr>
              <w:t xml:space="preserve">4.4. Критерии оценки эффективности реализации проекта, количественные и качественные показатели.</w:t>
            </w:r>
          </w:p>
          <w:p>
            <w:pPr>
              <w:pStyle w:val="0"/>
              <w:ind w:firstLine="283"/>
              <w:jc w:val="both"/>
            </w:pPr>
            <w:r>
              <w:rPr>
                <w:sz w:val="20"/>
              </w:rPr>
              <w:t xml:space="preserve">4.5. Срок реализации проекта.</w:t>
            </w:r>
          </w:p>
          <w:p>
            <w:pPr>
              <w:pStyle w:val="0"/>
              <w:ind w:firstLine="283"/>
              <w:jc w:val="both"/>
            </w:pPr>
            <w:r>
              <w:rPr>
                <w:sz w:val="20"/>
              </w:rPr>
              <w:t xml:space="preserve">4.6. Информация о возможности распространения положительного опыта реализации проекта.</w:t>
            </w:r>
          </w:p>
          <w:p>
            <w:pPr>
              <w:pStyle w:val="0"/>
              <w:ind w:firstLine="283"/>
              <w:jc w:val="both"/>
            </w:pPr>
            <w:r>
              <w:rPr>
                <w:sz w:val="20"/>
              </w:rPr>
              <w:t xml:space="preserve">4.7. Практическая значимость проекта.</w:t>
            </w:r>
          </w:p>
          <w:p>
            <w:pPr>
              <w:pStyle w:val="0"/>
              <w:ind w:firstLine="283"/>
              <w:jc w:val="both"/>
            </w:pPr>
            <w:r>
              <w:rPr>
                <w:sz w:val="20"/>
              </w:rPr>
              <w:t xml:space="preserve">4.8. Перечень планируемых мероприятий.</w:t>
            </w:r>
          </w:p>
          <w:p>
            <w:pPr>
              <w:pStyle w:val="0"/>
              <w:ind w:firstLine="283"/>
              <w:jc w:val="both"/>
            </w:pPr>
            <w:r>
              <w:rPr>
                <w:sz w:val="20"/>
              </w:rPr>
              <w:t xml:space="preserve">5. Календарный план. Перечень основных этапов реализации проекта и потребность в финансовых ресурсах для их реализации:</w:t>
            </w:r>
          </w:p>
        </w:tc>
      </w:tr>
      <w:tr>
        <w:tblPrEx>
          <w:tblBorders>
            <w:left w:val="single" w:sz="4"/>
            <w:right w:val="single" w:sz="4"/>
          </w:tblBorders>
        </w:tblPrEx>
        <w:tc>
          <w:tcPr>
            <w:tcW w:w="794" w:type="dxa"/>
          </w:tcPr>
          <w:p>
            <w:pPr>
              <w:pStyle w:val="0"/>
              <w:jc w:val="center"/>
            </w:pPr>
            <w:r>
              <w:rPr>
                <w:sz w:val="20"/>
              </w:rPr>
              <w:t xml:space="preserve">N п/п</w:t>
            </w:r>
          </w:p>
        </w:tc>
        <w:tc>
          <w:tcPr>
            <w:tcW w:w="3402" w:type="dxa"/>
          </w:tcPr>
          <w:p>
            <w:pPr>
              <w:pStyle w:val="0"/>
              <w:jc w:val="center"/>
            </w:pPr>
            <w:r>
              <w:rPr>
                <w:sz w:val="20"/>
              </w:rPr>
              <w:t xml:space="preserve">Наименование этапа</w:t>
            </w:r>
          </w:p>
        </w:tc>
        <w:tc>
          <w:tcPr>
            <w:tcW w:w="2494" w:type="dxa"/>
          </w:tcPr>
          <w:p>
            <w:pPr>
              <w:pStyle w:val="0"/>
              <w:jc w:val="center"/>
            </w:pPr>
            <w:r>
              <w:rPr>
                <w:sz w:val="20"/>
              </w:rPr>
              <w:t xml:space="preserve">Сроки реализации</w:t>
            </w:r>
          </w:p>
        </w:tc>
        <w:tc>
          <w:tcPr>
            <w:tcW w:w="2381" w:type="dxa"/>
          </w:tcPr>
          <w:p>
            <w:pPr>
              <w:pStyle w:val="0"/>
              <w:jc w:val="center"/>
            </w:pPr>
            <w:r>
              <w:rPr>
                <w:sz w:val="20"/>
              </w:rPr>
              <w:t xml:space="preserve">Стоимость этапа (руб.)</w:t>
            </w:r>
          </w:p>
        </w:tc>
      </w:tr>
      <w:tr>
        <w:tblPrEx>
          <w:tblBorders>
            <w:left w:val="single" w:sz="4"/>
            <w:right w:val="single" w:sz="4"/>
          </w:tblBorders>
        </w:tblPrEx>
        <w:tc>
          <w:tcPr>
            <w:tcW w:w="794" w:type="dxa"/>
          </w:tcPr>
          <w:p>
            <w:pPr>
              <w:pStyle w:val="0"/>
            </w:pPr>
            <w:r>
              <w:rPr>
                <w:sz w:val="20"/>
              </w:rPr>
            </w:r>
          </w:p>
        </w:tc>
        <w:tc>
          <w:tcPr>
            <w:tcW w:w="3402" w:type="dxa"/>
          </w:tcPr>
          <w:p>
            <w:pPr>
              <w:pStyle w:val="0"/>
            </w:pPr>
            <w:r>
              <w:rPr>
                <w:sz w:val="20"/>
              </w:rPr>
            </w:r>
          </w:p>
        </w:tc>
        <w:tc>
          <w:tcPr>
            <w:tcW w:w="2494" w:type="dxa"/>
          </w:tcPr>
          <w:p>
            <w:pPr>
              <w:pStyle w:val="0"/>
            </w:pPr>
            <w:r>
              <w:rPr>
                <w:sz w:val="20"/>
              </w:rPr>
            </w:r>
          </w:p>
        </w:tc>
        <w:tc>
          <w:tcPr>
            <w:tcW w:w="2381" w:type="dxa"/>
          </w:tcPr>
          <w:p>
            <w:pPr>
              <w:pStyle w:val="0"/>
            </w:pPr>
            <w:r>
              <w:rPr>
                <w:sz w:val="20"/>
              </w:rPr>
            </w:r>
          </w:p>
        </w:tc>
      </w:tr>
      <w:tr>
        <w:tc>
          <w:tcPr>
            <w:gridSpan w:val="4"/>
            <w:tcW w:w="9071" w:type="dxa"/>
            <w:tcBorders>
              <w:left w:val="nil"/>
              <w:bottom w:val="nil"/>
              <w:right w:val="nil"/>
            </w:tcBorders>
          </w:tcPr>
          <w:p>
            <w:pPr>
              <w:pStyle w:val="0"/>
              <w:ind w:firstLine="283"/>
              <w:jc w:val="both"/>
            </w:pPr>
            <w:r>
              <w:rPr>
                <w:sz w:val="20"/>
              </w:rPr>
              <w:t xml:space="preserve">6. Ожидаемые результаты реализации проекта, описание изменений, которые произойдут в результате реализации проекта по его завершении и в долгосрочной перспективе.</w:t>
            </w:r>
          </w:p>
          <w:p>
            <w:pPr>
              <w:pStyle w:val="0"/>
              <w:ind w:firstLine="283"/>
              <w:jc w:val="both"/>
            </w:pPr>
            <w:r>
              <w:rPr>
                <w:sz w:val="20"/>
              </w:rPr>
              <w:t xml:space="preserve">7. Оценка эффективности проекта и рисков его реализации (финансовых, экономических, организационных).</w:t>
            </w:r>
          </w:p>
          <w:p>
            <w:pPr>
              <w:pStyle w:val="0"/>
              <w:ind w:firstLine="283"/>
              <w:jc w:val="both"/>
            </w:pPr>
            <w:r>
              <w:rPr>
                <w:sz w:val="20"/>
              </w:rPr>
              <w:t xml:space="preserve">8. Смета расходов на реализацию проекта.</w:t>
            </w:r>
          </w:p>
          <w:p>
            <w:pPr>
              <w:pStyle w:val="0"/>
              <w:ind w:firstLine="283"/>
              <w:jc w:val="both"/>
            </w:pPr>
            <w:r>
              <w:rPr>
                <w:sz w:val="20"/>
              </w:rPr>
              <w:t xml:space="preserve">9. Приложения: документы, подтверждающие и разъясняющие информацию, представленную в проекте (при необходимости).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10.06.2022 N 406</w:t>
            <w:br/>
            <w:t>"Об утверждении Порядка предоставления гранта в форме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EE623845687918A5557F73C8FCBB7A6B2897D0D5368F964212369C92147C55CB8AA90671678C9231BCEA614B02C5382CEC09CD49B0t1f9G" TargetMode = "External"/>
	<Relationship Id="rId8" Type="http://schemas.openxmlformats.org/officeDocument/2006/relationships/hyperlink" Target="consultantplus://offline/ref=A0EE623845687918A5557F73C8FCBB7A6B2895DFDD3F8F964212369C92147C55CB8AA9037665DCC821B8A3354E1DCC2433EC17CDt4fBG" TargetMode = "External"/>
	<Relationship Id="rId9" Type="http://schemas.openxmlformats.org/officeDocument/2006/relationships/hyperlink" Target="consultantplus://offline/ref=A0EE623845687918A5557F73C8FCBB7A6B2991DAD93A8F964212369C92147C55D98AF10F7766969867F3AC3444t0f1G" TargetMode = "External"/>
	<Relationship Id="rId10" Type="http://schemas.openxmlformats.org/officeDocument/2006/relationships/hyperlink" Target="consultantplus://offline/ref=A0EE623845687918A555617EDE90E47F6E20C8D5DC3F86C0164430CBCD447A008BCAAF56272ADD9464E5B035441DCF262FtEfCG" TargetMode = "External"/>
	<Relationship Id="rId11" Type="http://schemas.openxmlformats.org/officeDocument/2006/relationships/hyperlink" Target="consultantplus://offline/ref=A0EE623845687918A555617EDE90E47F6E20C8D5DC3F86C0164430CBCD447A008BCAAF56352A859865EDAE354508997769BB1ACE41AC1AAD07C143D6tDfAG" TargetMode = "External"/>
	<Relationship Id="rId12" Type="http://schemas.openxmlformats.org/officeDocument/2006/relationships/hyperlink" Target="consultantplus://offline/ref=A0EE623845687918A5557F73C8FCBB7A6B2897D0D5368F964212369C92147C55CB8AA901716E8C9231BCEA614B02C5382CEC09CD49B0t1f9G" TargetMode = "External"/>
	<Relationship Id="rId13" Type="http://schemas.openxmlformats.org/officeDocument/2006/relationships/hyperlink" Target="consultantplus://offline/ref=A0EE623845687918A5557F73C8FCBB7A6B2897D0D5368F964212369C92147C55CB8AA901716C8A9231BCEA614B02C5382CEC09CD49B0t1f9G" TargetMode = "External"/>
	<Relationship Id="rId14" Type="http://schemas.openxmlformats.org/officeDocument/2006/relationships/hyperlink" Target="consultantplus://offline/ref=A0EE623845687918A5557F73C8FCBB7A6B2897D0D5368F964212369C92147C55CB8AA901716E8C9231BCEA614B02C5382CEC09CD49B0t1f9G" TargetMode = "External"/>
	<Relationship Id="rId15" Type="http://schemas.openxmlformats.org/officeDocument/2006/relationships/hyperlink" Target="consultantplus://offline/ref=A0EE623845687918A5557F73C8FCBB7A6B2897D0D5368F964212369C92147C55CB8AA901716C8A9231BCEA614B02C5382CEC09CD49B0t1f9G" TargetMode = "External"/>
	<Relationship Id="rId16" Type="http://schemas.openxmlformats.org/officeDocument/2006/relationships/hyperlink" Target="consultantplus://offline/ref=A0EE623845687918A5557F73C8FCBB7A6B299ED1D83A8F964212369C92147C55D98AF10F7766969867F3AC3444t0f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10.06.2022 N 406
"Об утверждении Порядка предоставления гранта в форме субсидии на развитие деятельности негосударственных организаций в сфере театрального искусства Воронежской области в 2022 году"</dc:title>
  <dcterms:created xsi:type="dcterms:W3CDTF">2022-12-18T06:31:45Z</dcterms:created>
</cp:coreProperties>
</file>