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Воронежской обл. от 18.08.2025 N 539</w:t>
              <w:br/>
              <w:t xml:space="preserve">"Об утверждении Порядка предоставления грантов в форме субсидий на поддержку общественных инициатив и проектов, направленных на развитие туристской инфраструктуры, в соответствии с государственной программой Воронежской области "Развитие культуры и туризма"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ВОРОНЕЖСКОЙ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18 августа 2025 г. N 539</w:t>
      </w:r>
    </w:p>
    <w:p>
      <w:pPr>
        <w:pStyle w:val="2"/>
        <w:jc w:val="center"/>
      </w:pPr>
      <w:r>
        <w:rPr>
          <w:sz w:val="20"/>
        </w:rPr>
      </w:r>
    </w:p>
    <w:p>
      <w:pPr>
        <w:pStyle w:val="2"/>
        <w:jc w:val="center"/>
      </w:pPr>
      <w:r>
        <w:rPr>
          <w:sz w:val="20"/>
        </w:rPr>
        <w:t xml:space="preserve">ОБ УТВЕРЖДЕНИИ ПОРЯДКА ПРЕДОСТАВЛЕНИЯ ГРАНТОВ В ФОРМЕ</w:t>
      </w:r>
    </w:p>
    <w:p>
      <w:pPr>
        <w:pStyle w:val="2"/>
        <w:jc w:val="center"/>
      </w:pPr>
      <w:r>
        <w:rPr>
          <w:sz w:val="20"/>
        </w:rPr>
        <w:t xml:space="preserve">СУБСИДИЙ НА ПОДДЕРЖКУ ОБЩЕСТВЕННЫХ ИНИЦИАТИВ И ПРОЕКТОВ,</w:t>
      </w:r>
    </w:p>
    <w:p>
      <w:pPr>
        <w:pStyle w:val="2"/>
        <w:jc w:val="center"/>
      </w:pPr>
      <w:r>
        <w:rPr>
          <w:sz w:val="20"/>
        </w:rPr>
        <w:t xml:space="preserve">НАПРАВЛЕННЫХ НА РАЗВИТИЕ ТУРИСТСКОЙ ИНФРАСТРУКТУРЫ,</w:t>
      </w:r>
    </w:p>
    <w:p>
      <w:pPr>
        <w:pStyle w:val="2"/>
        <w:jc w:val="center"/>
      </w:pPr>
      <w:r>
        <w:rPr>
          <w:sz w:val="20"/>
        </w:rPr>
        <w:t xml:space="preserve">В СООТВЕТСТВИИ С ГОСУДАРСТВЕННОЙ ПРОГРАММОЙ</w:t>
      </w:r>
    </w:p>
    <w:p>
      <w:pPr>
        <w:pStyle w:val="2"/>
        <w:jc w:val="center"/>
      </w:pPr>
      <w:r>
        <w:rPr>
          <w:sz w:val="20"/>
        </w:rPr>
        <w:t xml:space="preserve">ВОРОНЕЖСКОЙ ОБЛАСТИ "РАЗВИТИЕ КУЛЬТУРЫ И ТУРИЗМА"</w:t>
      </w:r>
    </w:p>
    <w:p>
      <w:pPr>
        <w:pStyle w:val="0"/>
        <w:jc w:val="center"/>
      </w:pPr>
      <w:r>
        <w:rPr>
          <w:sz w:val="20"/>
        </w:rPr>
      </w:r>
    </w:p>
    <w:p>
      <w:pPr>
        <w:pStyle w:val="0"/>
        <w:ind w:firstLine="540"/>
        <w:jc w:val="both"/>
      </w:pPr>
      <w:r>
        <w:rPr>
          <w:sz w:val="20"/>
        </w:rPr>
        <w:t xml:space="preserve">В соответствии со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w:t>
        </w:r>
      </w:hyperlink>
      <w:r>
        <w:rPr>
          <w:sz w:val="20"/>
        </w:rPr>
        <w:t xml:space="preserve"> Бюджетного кодекса Российской Федерации, </w:t>
      </w:r>
      <w:hyperlink w:history="0" r:id="rId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Правительство Воронежской области постановляет:</w:t>
      </w:r>
    </w:p>
    <w:p>
      <w:pPr>
        <w:pStyle w:val="0"/>
        <w:spacing w:before="200" w:lineRule="auto"/>
        <w:ind w:firstLine="540"/>
        <w:jc w:val="both"/>
      </w:pPr>
      <w:r>
        <w:rPr>
          <w:sz w:val="20"/>
        </w:rPr>
        <w:t xml:space="preserve">1. Утвердить </w:t>
      </w:r>
      <w:hyperlink w:history="0" w:anchor="P31" w:tooltip="ПОРЯДОК">
        <w:r>
          <w:rPr>
            <w:sz w:val="20"/>
            <w:color w:val="0000ff"/>
          </w:rPr>
          <w:t xml:space="preserve">Порядок</w:t>
        </w:r>
      </w:hyperlink>
      <w:r>
        <w:rPr>
          <w:sz w:val="20"/>
        </w:rPr>
        <w:t xml:space="preserve"> предоставления грантов в форме субсидий на поддержку общественных инициатив и проектов, направленных на развитие туристской инфраструктуры, в соответствии с государственной программой Воронежской области "Развитие культуры и туризма" согласно приложению к настоящему постановлению.</w:t>
      </w:r>
    </w:p>
    <w:p>
      <w:pPr>
        <w:pStyle w:val="0"/>
        <w:spacing w:before="200" w:lineRule="auto"/>
        <w:ind w:firstLine="540"/>
        <w:jc w:val="both"/>
      </w:pPr>
      <w:r>
        <w:rPr>
          <w:sz w:val="20"/>
        </w:rPr>
        <w:t xml:space="preserve">2. Настоящее постановление вступает в силу со дня его официального опубликования.</w:t>
      </w:r>
    </w:p>
    <w:p>
      <w:pPr>
        <w:pStyle w:val="0"/>
        <w:spacing w:before="200" w:lineRule="auto"/>
        <w:ind w:firstLine="540"/>
        <w:jc w:val="both"/>
      </w:pPr>
      <w:r>
        <w:rPr>
          <w:sz w:val="20"/>
        </w:rPr>
        <w:t xml:space="preserve">3. Контроль за исполнением настоящего постановления возложить на заместителя председателя Правительства Воронежской области Верховцева А.Ю.</w:t>
      </w:r>
    </w:p>
    <w:p>
      <w:pPr>
        <w:pStyle w:val="0"/>
        <w:ind w:firstLine="540"/>
        <w:jc w:val="both"/>
      </w:pPr>
      <w:r>
        <w:rPr>
          <w:sz w:val="20"/>
        </w:rPr>
      </w:r>
    </w:p>
    <w:p>
      <w:pPr>
        <w:pStyle w:val="0"/>
        <w:jc w:val="right"/>
      </w:pPr>
      <w:r>
        <w:rPr>
          <w:sz w:val="20"/>
        </w:rPr>
        <w:t xml:space="preserve">Губернатор Воронежской области</w:t>
      </w:r>
    </w:p>
    <w:p>
      <w:pPr>
        <w:pStyle w:val="0"/>
        <w:jc w:val="right"/>
      </w:pPr>
      <w:r>
        <w:rPr>
          <w:sz w:val="20"/>
        </w:rPr>
        <w:t xml:space="preserve">А.В.ГУСЕВ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w:t>
      </w:r>
    </w:p>
    <w:p>
      <w:pPr>
        <w:pStyle w:val="0"/>
        <w:jc w:val="right"/>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Воронежской области</w:t>
      </w:r>
    </w:p>
    <w:p>
      <w:pPr>
        <w:pStyle w:val="0"/>
        <w:jc w:val="right"/>
      </w:pPr>
      <w:r>
        <w:rPr>
          <w:sz w:val="20"/>
        </w:rPr>
        <w:t xml:space="preserve">от 18.08.2025 N 539</w:t>
      </w:r>
    </w:p>
    <w:p>
      <w:pPr>
        <w:pStyle w:val="0"/>
        <w:jc w:val="right"/>
      </w:pPr>
      <w:r>
        <w:rPr>
          <w:sz w:val="20"/>
        </w:rPr>
      </w:r>
    </w:p>
    <w:bookmarkStart w:id="31" w:name="P31"/>
    <w:bookmarkEnd w:id="31"/>
    <w:p>
      <w:pPr>
        <w:pStyle w:val="2"/>
        <w:jc w:val="center"/>
      </w:pPr>
      <w:r>
        <w:rPr>
          <w:sz w:val="20"/>
        </w:rPr>
        <w:t xml:space="preserve">ПОРЯДОК</w:t>
      </w:r>
    </w:p>
    <w:p>
      <w:pPr>
        <w:pStyle w:val="2"/>
        <w:jc w:val="center"/>
      </w:pPr>
      <w:r>
        <w:rPr>
          <w:sz w:val="20"/>
        </w:rPr>
        <w:t xml:space="preserve">ПРЕДОСТАВЛЕНИЯ ГРАНТОВ В ФОРМЕ СУБСИДИЙ НА ПОДДЕРЖКУ</w:t>
      </w:r>
    </w:p>
    <w:p>
      <w:pPr>
        <w:pStyle w:val="2"/>
        <w:jc w:val="center"/>
      </w:pPr>
      <w:r>
        <w:rPr>
          <w:sz w:val="20"/>
        </w:rPr>
        <w:t xml:space="preserve">ОБЩЕСТВЕННЫХ ИНИЦИАТИВ И ПРОЕКТОВ, НАПРАВЛЕННЫХ НА РАЗВИТИЕ</w:t>
      </w:r>
    </w:p>
    <w:p>
      <w:pPr>
        <w:pStyle w:val="2"/>
        <w:jc w:val="center"/>
      </w:pPr>
      <w:r>
        <w:rPr>
          <w:sz w:val="20"/>
        </w:rPr>
        <w:t xml:space="preserve">ТУРИСТСКОЙ ИНФРАСТРУКТУРЫ, В СООТВЕТСТВИИ С ГОСУДАРСТВЕННОЙ</w:t>
      </w:r>
    </w:p>
    <w:p>
      <w:pPr>
        <w:pStyle w:val="2"/>
        <w:jc w:val="center"/>
      </w:pPr>
      <w:r>
        <w:rPr>
          <w:sz w:val="20"/>
        </w:rPr>
        <w:t xml:space="preserve">ПРОГРАММОЙ ВОРОНЕЖСКОЙ ОБЛАСТИ "РАЗВИТИЕ КУЛЬТУРЫ И ТУРИЗМА"</w:t>
      </w:r>
    </w:p>
    <w:p>
      <w:pPr>
        <w:pStyle w:val="0"/>
        <w:ind w:firstLine="54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Настоящий Порядок предоставления грантов в форме субсидий на поддержку общественных инициатив и проектов, направленных на развитие туристской инфраструктуры, в соответствии с государственной программой Воронежской области "Развитие культуры и туризма" (далее соответственно - Порядок, гранты) устанавливает общие положения о предоставлении грантов, порядок проведения отбора получателей грантов для получения грантов, условия и порядок предоставления грантов, требования к отчетности, требования об осуществлении контроля (мониторинга) за соблюдением условий и порядка предоставления грантов и ответственности за их нарушение.</w:t>
      </w:r>
    </w:p>
    <w:bookmarkStart w:id="40" w:name="P40"/>
    <w:bookmarkEnd w:id="40"/>
    <w:p>
      <w:pPr>
        <w:pStyle w:val="0"/>
        <w:spacing w:before="200" w:lineRule="auto"/>
        <w:ind w:firstLine="540"/>
        <w:jc w:val="both"/>
      </w:pPr>
      <w:r>
        <w:rPr>
          <w:sz w:val="20"/>
        </w:rPr>
        <w:t xml:space="preserve">1.2. Целью предоставления грантов является государственная поддержка в целях финансового обеспечения затрат на осуществление мероприятий, связанных с реализацией общественных инициатив и проектов, направленных на развитие туристской инфраструктуры, расположенной на территории Воронежской области, указанных в </w:t>
      </w:r>
      <w:hyperlink w:history="0" w:anchor="P269" w:tooltip="3.1. Грант предоставляется в целях финансового обеспечения затрат на мероприятия, связанные с реализацией общественных инициатив и проектов, направленных на развитие туристской инфраструктуры, по следующим направлениям расходов:">
        <w:r>
          <w:rPr>
            <w:sz w:val="20"/>
            <w:color w:val="0000ff"/>
          </w:rPr>
          <w:t xml:space="preserve">пункте 3.1</w:t>
        </w:r>
      </w:hyperlink>
      <w:r>
        <w:rPr>
          <w:sz w:val="20"/>
        </w:rPr>
        <w:t xml:space="preserve"> настоящего Порядка, в рамках реализации национального проекта "Туризм и гостеприимство", а также в рамках реализации регионального проекта "Создание номерного фонда, инфраструктуры и новых точек притяжения" государственной </w:t>
      </w:r>
      <w:hyperlink w:history="0" r:id="rId10" w:tooltip="Постановление Правительства Воронежской обл. от 18.12.2013 N 1119 (ред. от 21.11.2025) &quot;Об утверждении государственной программы Воронежской области &quot;Развитие культуры и туризма&quot; {КонсультантПлюс}">
        <w:r>
          <w:rPr>
            <w:sz w:val="20"/>
            <w:color w:val="0000ff"/>
          </w:rPr>
          <w:t xml:space="preserve">программы</w:t>
        </w:r>
      </w:hyperlink>
      <w:r>
        <w:rPr>
          <w:sz w:val="20"/>
        </w:rPr>
        <w:t xml:space="preserve"> Воронежской области "Развитие культуры и туризма", утвержденной постановлением Правительства Воронежской области от 18.12.2013 N 1119 "Об утверждении государственной программы Воронежской области "Развитие культуры и туризма".</w:t>
      </w:r>
    </w:p>
    <w:p>
      <w:pPr>
        <w:pStyle w:val="0"/>
        <w:spacing w:before="200" w:lineRule="auto"/>
        <w:ind w:firstLine="540"/>
        <w:jc w:val="both"/>
      </w:pPr>
      <w:r>
        <w:rPr>
          <w:sz w:val="20"/>
        </w:rPr>
        <w:t xml:space="preserve">1.3. Исполнительным органом Воронежской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грантов на соответствующий финансовый год и плановый период, является министерство предпринимательства, торговли и туризма Воронежской области (далее - Министерство).</w:t>
      </w:r>
    </w:p>
    <w:p>
      <w:pPr>
        <w:pStyle w:val="0"/>
        <w:spacing w:before="200" w:lineRule="auto"/>
        <w:ind w:firstLine="540"/>
        <w:jc w:val="both"/>
      </w:pPr>
      <w:r>
        <w:rPr>
          <w:sz w:val="20"/>
        </w:rPr>
        <w:t xml:space="preserve">Предоставление грантов осуществляется в соответствии со сводной бюджетной росписью в пределах бюджетных ассигнований, предусмотренных законом Воронежской области об областном бюджете на соответствующий финансовый год и на плановый период на цели, указанные в настоящем Порядке.</w:t>
      </w:r>
    </w:p>
    <w:p>
      <w:pPr>
        <w:pStyle w:val="0"/>
        <w:spacing w:before="200" w:lineRule="auto"/>
        <w:ind w:firstLine="540"/>
        <w:jc w:val="both"/>
      </w:pPr>
      <w:r>
        <w:rPr>
          <w:sz w:val="20"/>
        </w:rPr>
        <w:t xml:space="preserve">1.4. Способом предоставления грантов является финансовое обеспечение затрат.</w:t>
      </w:r>
    </w:p>
    <w:p>
      <w:pPr>
        <w:pStyle w:val="0"/>
        <w:spacing w:before="200" w:lineRule="auto"/>
        <w:ind w:firstLine="540"/>
        <w:jc w:val="both"/>
      </w:pPr>
      <w:r>
        <w:rPr>
          <w:sz w:val="20"/>
        </w:rPr>
        <w:t xml:space="preserve">1.5. Информация о грантах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в порядке, установленном Министерством финансов Российской Федерации.</w:t>
      </w:r>
    </w:p>
    <w:p>
      <w:pPr>
        <w:pStyle w:val="0"/>
        <w:ind w:firstLine="540"/>
        <w:jc w:val="both"/>
      </w:pPr>
      <w:r>
        <w:rPr>
          <w:sz w:val="20"/>
        </w:rPr>
      </w:r>
    </w:p>
    <w:p>
      <w:pPr>
        <w:pStyle w:val="2"/>
        <w:outlineLvl w:val="1"/>
        <w:jc w:val="center"/>
      </w:pPr>
      <w:r>
        <w:rPr>
          <w:sz w:val="20"/>
        </w:rPr>
        <w:t xml:space="preserve">2. Порядок проведения отбора получателей грантов</w:t>
      </w:r>
    </w:p>
    <w:p>
      <w:pPr>
        <w:pStyle w:val="2"/>
        <w:jc w:val="center"/>
      </w:pPr>
      <w:r>
        <w:rPr>
          <w:sz w:val="20"/>
        </w:rPr>
        <w:t xml:space="preserve">для предоставления грантов</w:t>
      </w:r>
    </w:p>
    <w:p>
      <w:pPr>
        <w:pStyle w:val="0"/>
        <w:ind w:firstLine="540"/>
        <w:jc w:val="both"/>
      </w:pPr>
      <w:r>
        <w:rPr>
          <w:sz w:val="20"/>
        </w:rPr>
      </w:r>
    </w:p>
    <w:bookmarkStart w:id="49" w:name="P49"/>
    <w:bookmarkEnd w:id="49"/>
    <w:p>
      <w:pPr>
        <w:pStyle w:val="0"/>
        <w:ind w:firstLine="540"/>
        <w:jc w:val="both"/>
      </w:pPr>
      <w:r>
        <w:rPr>
          <w:sz w:val="20"/>
        </w:rPr>
        <w:t xml:space="preserve">2.1. Право на получение грантов имеют юридические лица (за исключением некоммерческих организаций, являющихся государственными (муниципальными) учреждениями) и индивидуальные предприниматели, поставленные на учет в налоговых органах Воронежской области, осуществляющие деятельность на территории Воронежской области, прошедшие отбор в соответствии с настоящим Порядком (далее - участники отбора, получатели грантов).</w:t>
      </w:r>
    </w:p>
    <w:p>
      <w:pPr>
        <w:pStyle w:val="0"/>
        <w:spacing w:before="200" w:lineRule="auto"/>
        <w:ind w:firstLine="540"/>
        <w:jc w:val="both"/>
      </w:pPr>
      <w:r>
        <w:rPr>
          <w:sz w:val="20"/>
        </w:rPr>
        <w:t xml:space="preserve">2.2. Наименование государственной информационной системы, обеспечивающей проведение отбора, - государственная интегрированная информационная система управления общественными финансами "Электронный бюджет" (далее - система "Электронный бюджет").</w:t>
      </w:r>
    </w:p>
    <w:p>
      <w:pPr>
        <w:pStyle w:val="0"/>
        <w:spacing w:before="200" w:lineRule="auto"/>
        <w:ind w:firstLine="540"/>
        <w:jc w:val="both"/>
      </w:pPr>
      <w:r>
        <w:rPr>
          <w:sz w:val="20"/>
        </w:rPr>
        <w:t xml:space="preserve">2.3. Отбор получателей грантов, в том числе подача заявки на участие в отборе (далее - заявка), заключение соглашения о предоставлении гранта (далее - соглашение), а также иное взаимодействие между Министерством и участниками отбора осуществляются с использованием документов в электронной форме в системе "Электронный бюджет".</w:t>
      </w:r>
    </w:p>
    <w:p>
      <w:pPr>
        <w:pStyle w:val="0"/>
        <w:spacing w:before="200" w:lineRule="auto"/>
        <w:ind w:firstLine="540"/>
        <w:jc w:val="both"/>
      </w:pPr>
      <w:r>
        <w:rPr>
          <w:sz w:val="20"/>
        </w:rPr>
        <w:t xml:space="preserve">2.4. Способом проведения отбора получателей грантов является конкурс, который проводится исходя из наилучших условий достижения результатов предоставления гранта (далее - отбор).</w:t>
      </w:r>
    </w:p>
    <w:p>
      <w:pPr>
        <w:pStyle w:val="0"/>
        <w:spacing w:before="200" w:lineRule="auto"/>
        <w:ind w:firstLine="540"/>
        <w:jc w:val="both"/>
      </w:pPr>
      <w:r>
        <w:rPr>
          <w:sz w:val="20"/>
        </w:rPr>
        <w:t xml:space="preserve">2.5. Объявление о проведении отбора формируется Министерством и размещается на едином портале, а также на странице Министерства в информационной системе "Портал Воронежской области в сети Интернет" в срок не позднее чем за 3 календарных дня до даты начала приема заявок с указанием в нем следующих сведений:</w:t>
      </w:r>
    </w:p>
    <w:p>
      <w:pPr>
        <w:pStyle w:val="0"/>
        <w:spacing w:before="200" w:lineRule="auto"/>
        <w:ind w:firstLine="540"/>
        <w:jc w:val="both"/>
      </w:pPr>
      <w:r>
        <w:rPr>
          <w:sz w:val="20"/>
        </w:rPr>
        <w:t xml:space="preserve">- сроков проведения отбора;</w:t>
      </w:r>
    </w:p>
    <w:p>
      <w:pPr>
        <w:pStyle w:val="0"/>
        <w:spacing w:before="200" w:lineRule="auto"/>
        <w:ind w:firstLine="540"/>
        <w:jc w:val="both"/>
      </w:pPr>
      <w:r>
        <w:rPr>
          <w:sz w:val="20"/>
        </w:rPr>
        <w:t xml:space="preserve">- даты начала подачи и окончания приема заявок участников отбора, которая не может быть ранее 30-го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 наименования, места нахождения, почтового адреса, адреса электронной почты Министерства;</w:t>
      </w:r>
    </w:p>
    <w:p>
      <w:pPr>
        <w:pStyle w:val="0"/>
        <w:spacing w:before="200" w:lineRule="auto"/>
        <w:ind w:firstLine="540"/>
        <w:jc w:val="both"/>
      </w:pPr>
      <w:r>
        <w:rPr>
          <w:sz w:val="20"/>
        </w:rPr>
        <w:t xml:space="preserve">- результата предоставления гранта, указанного в </w:t>
      </w:r>
      <w:hyperlink w:history="0" w:anchor="P313" w:tooltip="3.11. Результат предоставления гранта: реализованы мероприятия субъектами Российской Федерации в рамках предоставления единой субсидии из федерального бюджета бюджетам субъектов Российской Федерации в целях достижения показателя государственной программы &quot;количество туристических поездок по территории Российской Федерации&quot; (реализация проекта (общественной инициативы), направленного на развитие туристской инфраструктуры). Тип результата: оказание услуг (выполнение работ). Единица измерения результата: ед...">
        <w:r>
          <w:rPr>
            <w:sz w:val="20"/>
            <w:color w:val="0000ff"/>
          </w:rPr>
          <w:t xml:space="preserve">пункте 3.11</w:t>
        </w:r>
      </w:hyperlink>
      <w:r>
        <w:rPr>
          <w:sz w:val="20"/>
        </w:rPr>
        <w:t xml:space="preserve"> настоящего Порядка;</w:t>
      </w:r>
    </w:p>
    <w:p>
      <w:pPr>
        <w:pStyle w:val="0"/>
        <w:spacing w:before="200" w:lineRule="auto"/>
        <w:ind w:firstLine="540"/>
        <w:jc w:val="both"/>
      </w:pPr>
      <w:r>
        <w:rPr>
          <w:sz w:val="20"/>
        </w:rPr>
        <w:t xml:space="preserve">- доменного имени и (или) указателей страниц государственной информационной системы в сети "Интернет";</w:t>
      </w:r>
    </w:p>
    <w:p>
      <w:pPr>
        <w:pStyle w:val="0"/>
        <w:spacing w:before="200" w:lineRule="auto"/>
        <w:ind w:firstLine="540"/>
        <w:jc w:val="both"/>
      </w:pPr>
      <w:r>
        <w:rPr>
          <w:sz w:val="20"/>
        </w:rPr>
        <w:t xml:space="preserve">- требований к участникам отбора в соответствии с </w:t>
      </w:r>
      <w:hyperlink w:history="0" w:anchor="P78" w:tooltip="2.6. Требования, которым должны соответствовать участники отбора на даты рассмотрения заявок и заключения соглашений:">
        <w:r>
          <w:rPr>
            <w:sz w:val="20"/>
            <w:color w:val="0000ff"/>
          </w:rPr>
          <w:t xml:space="preserve">пунктом 2.6</w:t>
        </w:r>
      </w:hyperlink>
      <w:r>
        <w:rPr>
          <w:sz w:val="20"/>
        </w:rPr>
        <w:t xml:space="preserve"> настоящего Порядка и к перечню документов, представляемых участниками отбора для подтверждения их соответствия указанным требованиям;</w:t>
      </w:r>
    </w:p>
    <w:p>
      <w:pPr>
        <w:pStyle w:val="0"/>
        <w:spacing w:before="200" w:lineRule="auto"/>
        <w:ind w:firstLine="540"/>
        <w:jc w:val="both"/>
      </w:pPr>
      <w:r>
        <w:rPr>
          <w:sz w:val="20"/>
        </w:rPr>
        <w:t xml:space="preserve">- категории получателей грантов и критериев оценки заявок в соответствии с </w:t>
      </w:r>
      <w:hyperlink w:history="0" w:anchor="P49" w:tooltip="2.1. Право на получение грантов имеют юридические лица (за исключением некоммерческих организаций, являющихся государственными (муниципальными) учреждениями) и индивидуальные предприниматели, поставленные на учет в налоговых органах Воронежской области, осуществляющие деятельность на территории Воронежской области, прошедшие отбор в соответствии с настоящим Порядком (далее - участники отбора, получатели грантов).">
        <w:r>
          <w:rPr>
            <w:sz w:val="20"/>
            <w:color w:val="0000ff"/>
          </w:rPr>
          <w:t xml:space="preserve">пунктами 2.1</w:t>
        </w:r>
      </w:hyperlink>
      <w:r>
        <w:rPr>
          <w:sz w:val="20"/>
        </w:rPr>
        <w:t xml:space="preserve">, </w:t>
      </w:r>
      <w:hyperlink w:history="0" w:anchor="P96" w:tooltip="2.8. Отбор участников осуществляется в соответствии со следующими критериями оценки заявок:">
        <w:r>
          <w:rPr>
            <w:sz w:val="20"/>
            <w:color w:val="0000ff"/>
          </w:rPr>
          <w:t xml:space="preserve">2.8</w:t>
        </w:r>
      </w:hyperlink>
      <w:r>
        <w:rPr>
          <w:sz w:val="20"/>
        </w:rPr>
        <w:t xml:space="preserve"> настоящего Порядка;</w:t>
      </w:r>
    </w:p>
    <w:p>
      <w:pPr>
        <w:pStyle w:val="0"/>
        <w:spacing w:before="200" w:lineRule="auto"/>
        <w:ind w:firstLine="540"/>
        <w:jc w:val="both"/>
      </w:pPr>
      <w:r>
        <w:rPr>
          <w:sz w:val="20"/>
        </w:rPr>
        <w:t xml:space="preserve">- порядка оценки заявок, включающего критерии оценки, сведения, документы и материалы, подтверждающие такую информацию, сроки оценки заявок, а также информацию об участии или неучастии комиссии по предоставлению грантов на поддержку общественных инициатив и проектов, направленных на развитие туристской инфраструктуры (далее - комиссия), и экспертов (экспертных организаций) в оценке заявок;</w:t>
      </w:r>
    </w:p>
    <w:p>
      <w:pPr>
        <w:pStyle w:val="0"/>
        <w:spacing w:before="200" w:lineRule="auto"/>
        <w:ind w:firstLine="540"/>
        <w:jc w:val="both"/>
      </w:pPr>
      <w:r>
        <w:rPr>
          <w:sz w:val="20"/>
        </w:rPr>
        <w:t xml:space="preserve">- порядка подачи участниками отбора заявок и требований, предъявляемых к форме и содержанию заявок;</w:t>
      </w:r>
    </w:p>
    <w:p>
      <w:pPr>
        <w:pStyle w:val="0"/>
        <w:spacing w:before="200" w:lineRule="auto"/>
        <w:ind w:firstLine="540"/>
        <w:jc w:val="both"/>
      </w:pPr>
      <w:r>
        <w:rPr>
          <w:sz w:val="20"/>
        </w:rPr>
        <w:t xml:space="preserve">- порядка отзыва заявок участников отбора, порядка их возврата, определяющего в том числе основания для возврата заявок участников отбора, порядка внесения изменений в заявки участников отбора;</w:t>
      </w:r>
    </w:p>
    <w:p>
      <w:pPr>
        <w:pStyle w:val="0"/>
        <w:spacing w:before="200" w:lineRule="auto"/>
        <w:ind w:firstLine="540"/>
        <w:jc w:val="both"/>
      </w:pPr>
      <w:r>
        <w:rPr>
          <w:sz w:val="20"/>
        </w:rPr>
        <w:t xml:space="preserve">- правил рассмотрения и оценки заявок участников отбора в соответствии с </w:t>
      </w:r>
      <w:hyperlink w:history="0" w:anchor="P96" w:tooltip="2.8. Отбор участников осуществляется в соответствии со следующими критериями оценки заявок:">
        <w:r>
          <w:rPr>
            <w:sz w:val="20"/>
            <w:color w:val="0000ff"/>
          </w:rPr>
          <w:t xml:space="preserve">пунктами 2.8</w:t>
        </w:r>
      </w:hyperlink>
      <w:r>
        <w:rPr>
          <w:sz w:val="20"/>
        </w:rPr>
        <w:t xml:space="preserve">, </w:t>
      </w:r>
      <w:hyperlink w:history="0" w:anchor="P220" w:tooltip="2.13. Заявка отклоняется Министерством в случае наличия одного или нескольких оснований для отклонения заявки участника отбора:">
        <w:r>
          <w:rPr>
            <w:sz w:val="20"/>
            <w:color w:val="0000ff"/>
          </w:rPr>
          <w:t xml:space="preserve">2.13</w:t>
        </w:r>
      </w:hyperlink>
      <w:r>
        <w:rPr>
          <w:sz w:val="20"/>
        </w:rPr>
        <w:t xml:space="preserve">, </w:t>
      </w:r>
      <w:hyperlink w:history="0" w:anchor="P230" w:tooltip="2.15. Проверка Министерством участника отбора на соответствие требованиям, установленным пунктом 2.6 настоящего Порядка, осуществляется автоматически в системе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w:r>
          <w:rPr>
            <w:sz w:val="20"/>
            <w:color w:val="0000ff"/>
          </w:rPr>
          <w:t xml:space="preserve">2.15</w:t>
        </w:r>
      </w:hyperlink>
      <w:r>
        <w:rPr>
          <w:sz w:val="20"/>
        </w:rPr>
        <w:t xml:space="preserve"> - </w:t>
      </w:r>
      <w:hyperlink w:history="0" w:anchor="P250" w:tooltip="2.19. Протокол рассмотрения заявок автоматически формируется на едином портале, подписывается усиленной квалифицированной электронной подписью председателя комиссии в системе &quot;Электронный бюджет&quot;, а также размещается на едином портале не позднее 1-го рабочего дня, следующего за днем его подписания.">
        <w:r>
          <w:rPr>
            <w:sz w:val="20"/>
            <w:color w:val="0000ff"/>
          </w:rPr>
          <w:t xml:space="preserve">2.19</w:t>
        </w:r>
      </w:hyperlink>
      <w:r>
        <w:rPr>
          <w:sz w:val="20"/>
        </w:rPr>
        <w:t xml:space="preserve">, </w:t>
      </w:r>
      <w:hyperlink w:history="0" w:anchor="P254" w:tooltip="2.21. Решение комиссии оформляется протоколом подведения итогов отбора посредством его автоматического формирования на едином портале.">
        <w:r>
          <w:rPr>
            <w:sz w:val="20"/>
            <w:color w:val="0000ff"/>
          </w:rPr>
          <w:t xml:space="preserve">2.21</w:t>
        </w:r>
      </w:hyperlink>
      <w:r>
        <w:rPr>
          <w:sz w:val="20"/>
        </w:rPr>
        <w:t xml:space="preserve"> настоящего Порядка;</w:t>
      </w:r>
    </w:p>
    <w:p>
      <w:pPr>
        <w:pStyle w:val="0"/>
        <w:spacing w:before="200" w:lineRule="auto"/>
        <w:ind w:firstLine="540"/>
        <w:jc w:val="both"/>
      </w:pPr>
      <w:r>
        <w:rPr>
          <w:sz w:val="20"/>
        </w:rPr>
        <w:t xml:space="preserve">- порядка возврата заявок на доработку;</w:t>
      </w:r>
    </w:p>
    <w:p>
      <w:pPr>
        <w:pStyle w:val="0"/>
        <w:spacing w:before="200" w:lineRule="auto"/>
        <w:ind w:firstLine="540"/>
        <w:jc w:val="both"/>
      </w:pPr>
      <w:r>
        <w:rPr>
          <w:sz w:val="20"/>
        </w:rPr>
        <w:t xml:space="preserve">- порядка отклонения заявок участников отбора, а также информации об основаниях их отклонения;</w:t>
      </w:r>
    </w:p>
    <w:p>
      <w:pPr>
        <w:pStyle w:val="0"/>
        <w:spacing w:before="200" w:lineRule="auto"/>
        <w:ind w:firstLine="540"/>
        <w:jc w:val="both"/>
      </w:pPr>
      <w:r>
        <w:rPr>
          <w:sz w:val="20"/>
        </w:rPr>
        <w:t xml:space="preserve">- объема бюджетных ассигнований, предусмотренных на соответствующий финансовый год на цель предоставления гранта, указанную в </w:t>
      </w:r>
      <w:hyperlink w:history="0" w:anchor="P40" w:tooltip="1.2. Целью предоставления грантов является государственная поддержка в целях финансового обеспечения затрат на осуществление мероприятий, связанных с реализацией общественных инициатив и проектов, направленных на развитие туристской инфраструктуры, расположенной на территории Воронежской области, указанных в пункте 3.1 настоящего Порядка, в рамках реализации национального проекта &quot;Туризм и гостеприимство&quot;, а также в рамках реализации регионального проекта &quot;Создание номерного фонда, инфраструктуры и новых...">
        <w:r>
          <w:rPr>
            <w:sz w:val="20"/>
            <w:color w:val="0000ff"/>
          </w:rPr>
          <w:t xml:space="preserve">пункте 1.2</w:t>
        </w:r>
      </w:hyperlink>
      <w:r>
        <w:rPr>
          <w:sz w:val="20"/>
        </w:rPr>
        <w:t xml:space="preserve"> настоящего Порядка, в областном бюджете, порядка расчета размера гранта, правил распределения грантов в соответствии с </w:t>
      </w:r>
      <w:hyperlink w:history="0" w:anchor="P285" w:tooltip="3.3. Размер гранта рассчитывается по следующей формуле:">
        <w:r>
          <w:rPr>
            <w:sz w:val="20"/>
            <w:color w:val="0000ff"/>
          </w:rPr>
          <w:t xml:space="preserve">пунктами 3.3</w:t>
        </w:r>
      </w:hyperlink>
      <w:r>
        <w:rPr>
          <w:sz w:val="20"/>
        </w:rPr>
        <w:t xml:space="preserve">, </w:t>
      </w:r>
      <w:hyperlink w:history="0" w:anchor="P294" w:tooltip="3.4. В случае если совокупный размер грантов, подлежащих предоставлению победителям отбора согласно пункту 3.3 настоящего Порядка, превышает лимиты бюджетных обязательств, доведенные до Министерства, победители отбора получают грантовую поддержку в порядке убывания итогового количества баллов согласно критериям оценки заявок в полном объеме сумм грантов, подлежащих предоставлению победителям отбора согласно пункту 3.3 настоящего Порядка, до исчерпания лимитов бюджетных обязательств, доведенных до Министе...">
        <w:r>
          <w:rPr>
            <w:sz w:val="20"/>
            <w:color w:val="0000ff"/>
          </w:rPr>
          <w:t xml:space="preserve">3.4</w:t>
        </w:r>
      </w:hyperlink>
      <w:r>
        <w:rPr>
          <w:sz w:val="20"/>
        </w:rPr>
        <w:t xml:space="preserve"> настоящего Порядка;</w:t>
      </w:r>
    </w:p>
    <w:p>
      <w:pPr>
        <w:pStyle w:val="0"/>
        <w:spacing w:before="200" w:lineRule="auto"/>
        <w:ind w:firstLine="540"/>
        <w:jc w:val="both"/>
      </w:pPr>
      <w:r>
        <w:rPr>
          <w:sz w:val="20"/>
        </w:rPr>
        <w:t xml:space="preserve">- порядка предоставления участникам отбора разъяснений положений объявления о проведении отбора, дат начала и окончания срока такого предоставления;</w:t>
      </w:r>
    </w:p>
    <w:p>
      <w:pPr>
        <w:pStyle w:val="0"/>
        <w:spacing w:before="200" w:lineRule="auto"/>
        <w:ind w:firstLine="540"/>
        <w:jc w:val="both"/>
      </w:pPr>
      <w:r>
        <w:rPr>
          <w:sz w:val="20"/>
        </w:rPr>
        <w:t xml:space="preserve">- срока, в течение которого победитель (победители) отбора должен подписать соглашение;</w:t>
      </w:r>
    </w:p>
    <w:p>
      <w:pPr>
        <w:pStyle w:val="0"/>
        <w:spacing w:before="200" w:lineRule="auto"/>
        <w:ind w:firstLine="540"/>
        <w:jc w:val="both"/>
      </w:pPr>
      <w:r>
        <w:rPr>
          <w:sz w:val="20"/>
        </w:rPr>
        <w:t xml:space="preserve">- условий признания победителя (победителей) отбора уклонившимся от заключения соглашения;</w:t>
      </w:r>
    </w:p>
    <w:p>
      <w:pPr>
        <w:pStyle w:val="0"/>
        <w:spacing w:before="200" w:lineRule="auto"/>
        <w:ind w:firstLine="540"/>
        <w:jc w:val="both"/>
      </w:pPr>
      <w:r>
        <w:rPr>
          <w:sz w:val="20"/>
        </w:rPr>
        <w:t xml:space="preserve">- сроков размещения протокола подведения итогов отбора на едином портале, а также на странице Министерства в информационной системе "Портал Воронежской области в сети Интернет", которые не могут быть позднее 14-го календарного дня, следующего за днем определения победителя отбора (с соблюдением сроков, установленных </w:t>
      </w:r>
      <w:hyperlink w:history="0" r:id="rId11" w:tooltip="Постановление Правительства РФ от 09.12.2017 N 1496 (ред. от 27.09.2025) &quot;О мерах по обеспечению исполнения федерального бюджета&quot; (вместе с &quot;Положением о мерах по обеспечению исполнения федерального бюджета&quot;) ------------ Недействующая редакция {КонсультантПлюс}">
        <w:r>
          <w:rPr>
            <w:sz w:val="20"/>
            <w:color w:val="0000ff"/>
          </w:rPr>
          <w:t xml:space="preserve">пунктом 26(2)</w:t>
        </w:r>
      </w:hyperlink>
      <w:r>
        <w:rPr>
          <w:sz w:val="20"/>
        </w:rPr>
        <w:t xml:space="preserve"> Положения о мерах по обеспечению исполнения федерального бюджета, утвержденного Постановлением Правительства Российской Федерации от 09.12.2017 N 1496 "О мерах по обеспечению исполнения федерального бюджета").</w:t>
      </w:r>
    </w:p>
    <w:p>
      <w:pPr>
        <w:pStyle w:val="0"/>
        <w:spacing w:before="200" w:lineRule="auto"/>
        <w:ind w:firstLine="540"/>
        <w:jc w:val="both"/>
      </w:pPr>
      <w:r>
        <w:rPr>
          <w:sz w:val="20"/>
        </w:rPr>
        <w:t xml:space="preserve">Объявление о проведении отбора на странице Министерства в информационной системе "Портал Воронежской области в сети Интернет" размещается Министерством.</w:t>
      </w:r>
    </w:p>
    <w:p>
      <w:pPr>
        <w:pStyle w:val="0"/>
        <w:spacing w:before="200" w:lineRule="auto"/>
        <w:ind w:firstLine="540"/>
        <w:jc w:val="both"/>
      </w:pPr>
      <w:r>
        <w:rPr>
          <w:sz w:val="20"/>
        </w:rPr>
        <w:t xml:space="preserve">Внесение изменений в объявление о проведении отбора возможно не позднее наступления даты окончания приема заявок с соблюдением следующих условий:</w:t>
      </w:r>
    </w:p>
    <w:p>
      <w:pPr>
        <w:pStyle w:val="0"/>
        <w:spacing w:before="200" w:lineRule="auto"/>
        <w:ind w:firstLine="540"/>
        <w:jc w:val="both"/>
      </w:pPr>
      <w:r>
        <w:rPr>
          <w:sz w:val="20"/>
        </w:rPr>
        <w:t xml:space="preserve">-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 при внесении изменений в объявление о проведении отбора изменение способа отбора не допускается;</w:t>
      </w:r>
    </w:p>
    <w:p>
      <w:pPr>
        <w:pStyle w:val="0"/>
        <w:spacing w:before="200" w:lineRule="auto"/>
        <w:ind w:firstLine="540"/>
        <w:jc w:val="both"/>
      </w:pPr>
      <w:r>
        <w:rPr>
          <w:sz w:val="20"/>
        </w:rPr>
        <w:t xml:space="preserve">- 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 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bookmarkStart w:id="78" w:name="P78"/>
    <w:bookmarkEnd w:id="78"/>
    <w:p>
      <w:pPr>
        <w:pStyle w:val="0"/>
        <w:spacing w:before="200" w:lineRule="auto"/>
        <w:ind w:firstLine="540"/>
        <w:jc w:val="both"/>
      </w:pPr>
      <w:r>
        <w:rPr>
          <w:sz w:val="20"/>
        </w:rPr>
        <w:t xml:space="preserve">2.6. Требования, которым должны соответствовать участники отбора на даты рассмотрения заявок и заключения соглашений:</w:t>
      </w:r>
    </w:p>
    <w:p>
      <w:pPr>
        <w:pStyle w:val="0"/>
        <w:spacing w:before="200" w:lineRule="auto"/>
        <w:ind w:firstLine="540"/>
        <w:jc w:val="both"/>
      </w:pPr>
      <w:r>
        <w:rPr>
          <w:sz w:val="20"/>
        </w:rPr>
        <w:t xml:space="preserve">а) участники отбора не должны являться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российского юридического лица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другого российского юридического лица,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б) участники отбора не должны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в) участники отбора не должны находиться в составляемых в рамках реализации полномочий, предусмотренных </w:t>
      </w:r>
      <w:hyperlink w:history="0" r:id="rId12"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г) участники отбора не должны получать средства из бюджета Воронежской области на основании иных нормативных правовых актов Воронежской области на цели, установленные настоящим Порядком;</w:t>
      </w:r>
    </w:p>
    <w:p>
      <w:pPr>
        <w:pStyle w:val="0"/>
        <w:spacing w:before="200" w:lineRule="auto"/>
        <w:ind w:firstLine="540"/>
        <w:jc w:val="both"/>
      </w:pPr>
      <w:r>
        <w:rPr>
          <w:sz w:val="20"/>
        </w:rPr>
        <w:t xml:space="preserve">д) участники отбора не должны являться иностранными агентами в соответствии с Федеральным </w:t>
      </w:r>
      <w:hyperlink w:history="0" r:id="rId13"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е) участники отбора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w:t>
      </w:r>
    </w:p>
    <w:p>
      <w:pPr>
        <w:pStyle w:val="0"/>
        <w:spacing w:before="200" w:lineRule="auto"/>
        <w:ind w:firstLine="540"/>
        <w:jc w:val="both"/>
      </w:pPr>
      <w:r>
        <w:rPr>
          <w:sz w:val="20"/>
        </w:rPr>
        <w:t xml:space="preserve">ж) в реестре дисквалифицированных лиц должны отсутствовать сведения о дисквалифицированных руководителях, членах коллегиальных исполнительных органов, о лицах, исполняющих функции единоличных исполнительных органов, или главных бухгалтерах (при наличии) участников отбора, являющихся юридическими лицами, об индивидуальных предпринимателях, являющихся участниками отбора;</w:t>
      </w:r>
    </w:p>
    <w:p>
      <w:pPr>
        <w:pStyle w:val="0"/>
        <w:spacing w:before="200" w:lineRule="auto"/>
        <w:ind w:firstLine="540"/>
        <w:jc w:val="both"/>
      </w:pPr>
      <w:r>
        <w:rPr>
          <w:sz w:val="20"/>
        </w:rPr>
        <w:t xml:space="preserve">з) сведения об участниках отбора должны быть внесены в Единый государственный реестр юридических лиц или Единый государственный реестр индивидуальных предпринимателей не позднее чем за 6 месяцев до даты размещения объявления о проведении отбора;</w:t>
      </w:r>
    </w:p>
    <w:p>
      <w:pPr>
        <w:pStyle w:val="0"/>
        <w:spacing w:before="200" w:lineRule="auto"/>
        <w:ind w:firstLine="540"/>
        <w:jc w:val="both"/>
      </w:pPr>
      <w:r>
        <w:rPr>
          <w:sz w:val="20"/>
        </w:rPr>
        <w:t xml:space="preserve">и) у участников отбора на едином налоговом счете отсутствует или не превышает размер, определенный </w:t>
      </w:r>
      <w:hyperlink w:history="0" r:id="rId14"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bookmarkStart w:id="88" w:name="P88"/>
    <w:bookmarkEnd w:id="88"/>
    <w:p>
      <w:pPr>
        <w:pStyle w:val="0"/>
        <w:spacing w:before="200" w:lineRule="auto"/>
        <w:ind w:firstLine="540"/>
        <w:jc w:val="both"/>
      </w:pPr>
      <w:r>
        <w:rPr>
          <w:sz w:val="20"/>
        </w:rPr>
        <w:t xml:space="preserve">2.7. Для подтверждения соответствия требованиям, установленным </w:t>
      </w:r>
      <w:hyperlink w:history="0" w:anchor="P78" w:tooltip="2.6. Требования, которым должны соответствовать участники отбора на даты рассмотрения заявок и заключения соглашений:">
        <w:r>
          <w:rPr>
            <w:sz w:val="20"/>
            <w:color w:val="0000ff"/>
          </w:rPr>
          <w:t xml:space="preserve">пунктом 2.6</w:t>
        </w:r>
      </w:hyperlink>
      <w:r>
        <w:rPr>
          <w:sz w:val="20"/>
        </w:rPr>
        <w:t xml:space="preserve"> настоящего Порядка, и получения гранта участник отбора в срок, установленный Министерством в объявлении о проведении отбора, представляет в Министерство с использованием системы "Электронный бюджет" в соответствии с требованиями, установленными </w:t>
      </w:r>
      <w:hyperlink w:history="0" w:anchor="P206" w:tooltip="2.9. Обеспечение доступа участников отбора к системе &quot;Электронный бюджет&quot; осуществляется с использованием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w:r>
          <w:rPr>
            <w:sz w:val="20"/>
            <w:color w:val="0000ff"/>
          </w:rPr>
          <w:t xml:space="preserve">пунктом 2.9</w:t>
        </w:r>
      </w:hyperlink>
      <w:r>
        <w:rPr>
          <w:sz w:val="20"/>
        </w:rPr>
        <w:t xml:space="preserve"> настоящего Порядка, заявку и следующие документы:</w:t>
      </w:r>
    </w:p>
    <w:p>
      <w:pPr>
        <w:pStyle w:val="0"/>
        <w:spacing w:before="200" w:lineRule="auto"/>
        <w:ind w:firstLine="540"/>
        <w:jc w:val="both"/>
      </w:pPr>
      <w:r>
        <w:rPr>
          <w:sz w:val="20"/>
        </w:rPr>
        <w:t xml:space="preserve">- </w:t>
      </w:r>
      <w:hyperlink w:history="0" w:anchor="P357" w:tooltip="Информация">
        <w:r>
          <w:rPr>
            <w:sz w:val="20"/>
            <w:color w:val="0000ff"/>
          </w:rPr>
          <w:t xml:space="preserve">информацию</w:t>
        </w:r>
      </w:hyperlink>
      <w:r>
        <w:rPr>
          <w:sz w:val="20"/>
        </w:rPr>
        <w:t xml:space="preserve"> по форме согласно приложению N 1 к настоящему Порядку;</w:t>
      </w:r>
    </w:p>
    <w:p>
      <w:pPr>
        <w:pStyle w:val="0"/>
        <w:spacing w:before="200" w:lineRule="auto"/>
        <w:ind w:firstLine="540"/>
        <w:jc w:val="both"/>
      </w:pPr>
      <w:r>
        <w:rPr>
          <w:sz w:val="20"/>
        </w:rPr>
        <w:t xml:space="preserve">- </w:t>
      </w:r>
      <w:hyperlink w:history="0" w:anchor="P401" w:tooltip="Паспорт проекта (общественной инициативы),">
        <w:r>
          <w:rPr>
            <w:sz w:val="20"/>
            <w:color w:val="0000ff"/>
          </w:rPr>
          <w:t xml:space="preserve">паспорт</w:t>
        </w:r>
      </w:hyperlink>
      <w:r>
        <w:rPr>
          <w:sz w:val="20"/>
        </w:rPr>
        <w:t xml:space="preserve"> проекта (общественной инициативы), направленного на развитие туристской инфраструктуры (далее - паспорт проекта (общественной инициативы)), по форме согласно приложению N 2 к настоящему Порядку;</w:t>
      </w:r>
    </w:p>
    <w:p>
      <w:pPr>
        <w:pStyle w:val="0"/>
        <w:spacing w:before="200" w:lineRule="auto"/>
        <w:ind w:firstLine="540"/>
        <w:jc w:val="both"/>
      </w:pPr>
      <w:r>
        <w:rPr>
          <w:sz w:val="20"/>
        </w:rPr>
        <w:t xml:space="preserve">- копии действующих редакций учредительных документов (для юридического лица);</w:t>
      </w:r>
    </w:p>
    <w:p>
      <w:pPr>
        <w:pStyle w:val="0"/>
        <w:spacing w:before="200" w:lineRule="auto"/>
        <w:ind w:firstLine="540"/>
        <w:jc w:val="both"/>
      </w:pPr>
      <w:r>
        <w:rPr>
          <w:sz w:val="20"/>
        </w:rPr>
        <w:t xml:space="preserve">- сведения о руководителе, членах коллегиального исполнительного органа, лице, исполняющем функции единоличного исполнительного органа, и главном бухгалтере участника отбора, являющегося юридическим лицом, об индивидуальном предпринимателе, являющемся участником отбора;</w:t>
      </w:r>
    </w:p>
    <w:p>
      <w:pPr>
        <w:pStyle w:val="0"/>
        <w:spacing w:before="200" w:lineRule="auto"/>
        <w:ind w:firstLine="540"/>
        <w:jc w:val="both"/>
      </w:pPr>
      <w:r>
        <w:rPr>
          <w:sz w:val="20"/>
        </w:rPr>
        <w:t xml:space="preserve">- копии документа, подтверждающего право пользования или владения земельным участком на территории Воронежской области, а также документ, подтверждающий соответствие вида разрешенного использования земельного участка цели проекта (общественной инициативы), направленного на развитие туристской инфраструктуры, в случае если при его реализации необходимо использование земельного участка;</w:t>
      </w:r>
    </w:p>
    <w:p>
      <w:pPr>
        <w:pStyle w:val="0"/>
        <w:spacing w:before="200" w:lineRule="auto"/>
        <w:ind w:firstLine="540"/>
        <w:jc w:val="both"/>
      </w:pPr>
      <w:r>
        <w:rPr>
          <w:sz w:val="20"/>
        </w:rPr>
        <w:t xml:space="preserve">- документ о праве пользования поверхностными водными объектами или их частями, в случае если при выполнении проекта (общественной инициативы), направленного на развитие туристской инфраструктуры, необходимо использование водного объекта или его части в соответствии с действующим законодательством.</w:t>
      </w:r>
    </w:p>
    <w:p>
      <w:pPr>
        <w:pStyle w:val="0"/>
        <w:spacing w:before="200" w:lineRule="auto"/>
        <w:ind w:firstLine="540"/>
        <w:jc w:val="both"/>
      </w:pPr>
      <w:r>
        <w:rPr>
          <w:sz w:val="20"/>
        </w:rPr>
        <w:t xml:space="preserve">Участник отбора в календарном году вправе подать одну заявку, содержащую один проект (общественную инициативу), направленный на развитие туристской инфраструктуры, по одному из мероприятий, указанных в </w:t>
      </w:r>
      <w:hyperlink w:history="0" w:anchor="P269" w:tooltip="3.1. Грант предоставляется в целях финансового обеспечения затрат на мероприятия, связанные с реализацией общественных инициатив и проектов, направленных на развитие туристской инфраструктуры, по следующим направлениям расходов:">
        <w:r>
          <w:rPr>
            <w:sz w:val="20"/>
            <w:color w:val="0000ff"/>
          </w:rPr>
          <w:t xml:space="preserve">пункте 3.1</w:t>
        </w:r>
      </w:hyperlink>
      <w:r>
        <w:rPr>
          <w:sz w:val="20"/>
        </w:rPr>
        <w:t xml:space="preserve"> настоящего Порядка.</w:t>
      </w:r>
    </w:p>
    <w:bookmarkStart w:id="96" w:name="P96"/>
    <w:bookmarkEnd w:id="96"/>
    <w:p>
      <w:pPr>
        <w:pStyle w:val="0"/>
        <w:spacing w:before="200" w:lineRule="auto"/>
        <w:ind w:firstLine="540"/>
        <w:jc w:val="both"/>
      </w:pPr>
      <w:r>
        <w:rPr>
          <w:sz w:val="20"/>
        </w:rPr>
        <w:t xml:space="preserve">2.8. Отбор участников осуществляется в соответствии со следующими критериями оценки заявок:</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041"/>
        <w:gridCol w:w="2721"/>
        <w:gridCol w:w="3798"/>
      </w:tblGrid>
      <w:tr>
        <w:tc>
          <w:tcPr>
            <w:tcW w:w="454" w:type="dxa"/>
          </w:tcPr>
          <w:p>
            <w:pPr>
              <w:pStyle w:val="0"/>
              <w:jc w:val="center"/>
            </w:pPr>
            <w:r>
              <w:rPr>
                <w:sz w:val="20"/>
              </w:rPr>
              <w:t xml:space="preserve">N п/п</w:t>
            </w:r>
          </w:p>
        </w:tc>
        <w:tc>
          <w:tcPr>
            <w:tcW w:w="2041" w:type="dxa"/>
          </w:tcPr>
          <w:p>
            <w:pPr>
              <w:pStyle w:val="0"/>
              <w:jc w:val="center"/>
            </w:pPr>
            <w:r>
              <w:rPr>
                <w:sz w:val="20"/>
              </w:rPr>
              <w:t xml:space="preserve">Наименование критерия оценки</w:t>
            </w:r>
          </w:p>
        </w:tc>
        <w:tc>
          <w:tcPr>
            <w:tcW w:w="2721" w:type="dxa"/>
          </w:tcPr>
          <w:p>
            <w:pPr>
              <w:pStyle w:val="0"/>
              <w:jc w:val="center"/>
            </w:pPr>
            <w:r>
              <w:rPr>
                <w:sz w:val="20"/>
              </w:rPr>
              <w:t xml:space="preserve">Описание критерия оценки. Величина значимости критерия оценки</w:t>
            </w:r>
          </w:p>
        </w:tc>
        <w:tc>
          <w:tcPr>
            <w:tcW w:w="3798" w:type="dxa"/>
          </w:tcPr>
          <w:p>
            <w:pPr>
              <w:pStyle w:val="0"/>
              <w:jc w:val="center"/>
            </w:pPr>
            <w:r>
              <w:rPr>
                <w:sz w:val="20"/>
              </w:rPr>
              <w:t xml:space="preserve">Расчет критерия оценки для проекта с использованием 100-балльной шкалы</w:t>
            </w:r>
          </w:p>
        </w:tc>
      </w:tr>
      <w:tr>
        <w:tc>
          <w:tcPr>
            <w:tcW w:w="454" w:type="dxa"/>
          </w:tcPr>
          <w:p>
            <w:pPr>
              <w:pStyle w:val="0"/>
              <w:jc w:val="center"/>
            </w:pPr>
            <w:r>
              <w:rPr>
                <w:sz w:val="20"/>
              </w:rPr>
              <w:t xml:space="preserve">1</w:t>
            </w:r>
          </w:p>
        </w:tc>
        <w:tc>
          <w:tcPr>
            <w:tcW w:w="2041" w:type="dxa"/>
          </w:tcPr>
          <w:p>
            <w:pPr>
              <w:pStyle w:val="0"/>
              <w:jc w:val="center"/>
            </w:pPr>
            <w:r>
              <w:rPr>
                <w:sz w:val="20"/>
              </w:rPr>
              <w:t xml:space="preserve">2</w:t>
            </w:r>
          </w:p>
        </w:tc>
        <w:tc>
          <w:tcPr>
            <w:tcW w:w="2721" w:type="dxa"/>
          </w:tcPr>
          <w:p>
            <w:pPr>
              <w:pStyle w:val="0"/>
              <w:jc w:val="center"/>
            </w:pPr>
            <w:r>
              <w:rPr>
                <w:sz w:val="20"/>
              </w:rPr>
              <w:t xml:space="preserve">3</w:t>
            </w:r>
          </w:p>
        </w:tc>
        <w:tc>
          <w:tcPr>
            <w:tcW w:w="3798" w:type="dxa"/>
          </w:tcPr>
          <w:p>
            <w:pPr>
              <w:pStyle w:val="0"/>
              <w:jc w:val="center"/>
            </w:pPr>
            <w:r>
              <w:rPr>
                <w:sz w:val="20"/>
              </w:rPr>
              <w:t xml:space="preserve">4</w:t>
            </w:r>
          </w:p>
        </w:tc>
      </w:tr>
      <w:tr>
        <w:tc>
          <w:tcPr>
            <w:tcW w:w="454" w:type="dxa"/>
          </w:tcPr>
          <w:p>
            <w:pPr>
              <w:pStyle w:val="0"/>
              <w:jc w:val="center"/>
            </w:pPr>
            <w:r>
              <w:rPr>
                <w:sz w:val="20"/>
              </w:rPr>
              <w:t xml:space="preserve">1</w:t>
            </w:r>
          </w:p>
        </w:tc>
        <w:tc>
          <w:tcPr>
            <w:tcW w:w="2041" w:type="dxa"/>
          </w:tcPr>
          <w:p>
            <w:pPr>
              <w:pStyle w:val="0"/>
              <w:jc w:val="center"/>
            </w:pPr>
            <w:r>
              <w:rPr>
                <w:sz w:val="20"/>
              </w:rPr>
              <w:t xml:space="preserve">Наличие в непосредственной близости туристских ресурсов</w:t>
            </w:r>
          </w:p>
        </w:tc>
        <w:tc>
          <w:tcPr>
            <w:tcW w:w="2721" w:type="dxa"/>
          </w:tcPr>
          <w:p>
            <w:pPr>
              <w:pStyle w:val="0"/>
              <w:jc w:val="center"/>
            </w:pPr>
            <w:r>
              <w:rPr>
                <w:sz w:val="20"/>
              </w:rPr>
              <w:t xml:space="preserve">Проект (общественная инициатива) реализуется в радиусе не более 10 км от туристских ресурсов и (или) участков туристских маршрутов (троп) Воронежской области, включенных в </w:t>
            </w:r>
            <w:hyperlink w:history="0" r:id="rId15" w:tooltip="Постановление Правительства Воронежской обл. от 21.02.2017 N 141 (ред. от 18.04.2024) &quot;Об утверждении Порядка формирования и ведения Реестра туристских ресурсов Воронежской области&quot; {КонсультантПлюс}">
              <w:r>
                <w:rPr>
                  <w:sz w:val="20"/>
                  <w:color w:val="0000ff"/>
                </w:rPr>
                <w:t xml:space="preserve">Реестр</w:t>
              </w:r>
            </w:hyperlink>
            <w:r>
              <w:rPr>
                <w:sz w:val="20"/>
              </w:rPr>
              <w:t xml:space="preserve"> туристских ресурсов Воронежской области в соответствии с постановлением Правительства Воронежской области от 21.02.2017 N 141 "Об утверждении Порядка формирования и ведения Реестра туристских ресурсов Воронежской области".</w:t>
            </w:r>
          </w:p>
          <w:p>
            <w:pPr>
              <w:pStyle w:val="0"/>
              <w:jc w:val="center"/>
            </w:pPr>
            <w:r>
              <w:rPr>
                <w:sz w:val="20"/>
              </w:rPr>
              <w:t xml:space="preserve">10</w:t>
            </w:r>
          </w:p>
        </w:tc>
        <w:tc>
          <w:tcPr>
            <w:tcW w:w="3798" w:type="dxa"/>
          </w:tcPr>
          <w:p>
            <w:pPr>
              <w:pStyle w:val="0"/>
              <w:ind w:firstLine="283"/>
              <w:jc w:val="both"/>
            </w:pPr>
            <w:r>
              <w:rPr>
                <w:sz w:val="20"/>
              </w:rPr>
              <w:t xml:space="preserve">Расчет критерия осуществляется по формуле:</w:t>
            </w:r>
          </w:p>
          <w:p>
            <w:pPr>
              <w:pStyle w:val="0"/>
              <w:ind w:firstLine="283"/>
              <w:jc w:val="both"/>
            </w:pPr>
            <w:r>
              <w:rPr>
                <w:sz w:val="20"/>
              </w:rPr>
              <w:t xml:space="preserve">К</w:t>
            </w:r>
            <w:r>
              <w:rPr>
                <w:sz w:val="20"/>
                <w:vertAlign w:val="subscript"/>
              </w:rPr>
              <w:t xml:space="preserve">1</w:t>
            </w:r>
            <w:r>
              <w:rPr>
                <w:sz w:val="20"/>
              </w:rPr>
              <w:t xml:space="preserve"> = У</w:t>
            </w:r>
            <w:r>
              <w:rPr>
                <w:sz w:val="20"/>
                <w:vertAlign w:val="subscript"/>
              </w:rPr>
              <w:t xml:space="preserve">1</w:t>
            </w:r>
            <w:r>
              <w:rPr>
                <w:sz w:val="20"/>
              </w:rPr>
              <w:t xml:space="preserve"> * В</w:t>
            </w:r>
            <w:r>
              <w:rPr>
                <w:sz w:val="20"/>
                <w:vertAlign w:val="subscript"/>
              </w:rPr>
              <w:t xml:space="preserve">1</w:t>
            </w:r>
            <w:r>
              <w:rPr>
                <w:sz w:val="20"/>
              </w:rPr>
              <w:t xml:space="preserve">, где:</w:t>
            </w:r>
          </w:p>
          <w:p>
            <w:pPr>
              <w:pStyle w:val="0"/>
              <w:ind w:firstLine="283"/>
              <w:jc w:val="both"/>
            </w:pPr>
            <w:r>
              <w:rPr>
                <w:sz w:val="20"/>
              </w:rPr>
              <w:t xml:space="preserve">К</w:t>
            </w:r>
            <w:r>
              <w:rPr>
                <w:sz w:val="20"/>
                <w:vertAlign w:val="subscript"/>
              </w:rPr>
              <w:t xml:space="preserve">1</w:t>
            </w:r>
            <w:r>
              <w:rPr>
                <w:sz w:val="20"/>
              </w:rPr>
              <w:t xml:space="preserve"> - количество баллов по результатам оценки критерия, указанного в графе 2 настоящей строки;</w:t>
            </w:r>
          </w:p>
          <w:p>
            <w:pPr>
              <w:pStyle w:val="0"/>
              <w:ind w:firstLine="283"/>
              <w:jc w:val="both"/>
            </w:pPr>
            <w:r>
              <w:rPr>
                <w:sz w:val="20"/>
              </w:rPr>
              <w:t xml:space="preserve">В</w:t>
            </w:r>
            <w:r>
              <w:rPr>
                <w:sz w:val="20"/>
                <w:vertAlign w:val="subscript"/>
              </w:rPr>
              <w:t xml:space="preserve">1</w:t>
            </w:r>
            <w:r>
              <w:rPr>
                <w:sz w:val="20"/>
              </w:rPr>
              <w:t xml:space="preserve"> - величина значимости критерия;</w:t>
            </w:r>
          </w:p>
          <w:p>
            <w:pPr>
              <w:pStyle w:val="0"/>
              <w:ind w:firstLine="283"/>
              <w:jc w:val="both"/>
            </w:pPr>
            <w:r>
              <w:rPr>
                <w:sz w:val="20"/>
              </w:rPr>
              <w:t xml:space="preserve">У</w:t>
            </w:r>
            <w:r>
              <w:rPr>
                <w:sz w:val="20"/>
                <w:vertAlign w:val="subscript"/>
              </w:rPr>
              <w:t xml:space="preserve">1</w:t>
            </w:r>
            <w:r>
              <w:rPr>
                <w:sz w:val="20"/>
              </w:rPr>
              <w:t xml:space="preserve"> - коэффициент соответствия требованию критерия:</w:t>
            </w:r>
          </w:p>
          <w:p>
            <w:pPr>
              <w:pStyle w:val="0"/>
              <w:ind w:firstLine="283"/>
              <w:jc w:val="both"/>
            </w:pPr>
            <w:r>
              <w:rPr>
                <w:sz w:val="20"/>
              </w:rPr>
              <w:t xml:space="preserve">У</w:t>
            </w:r>
            <w:r>
              <w:rPr>
                <w:sz w:val="20"/>
                <w:vertAlign w:val="subscript"/>
              </w:rPr>
              <w:t xml:space="preserve">1</w:t>
            </w:r>
            <w:r>
              <w:rPr>
                <w:sz w:val="20"/>
              </w:rPr>
              <w:t xml:space="preserve"> = 1, если представлены сведения о реализации проекта (общественной инициативы) в радиусе не более 10 км от туристского ресурса и (или) участка туристского маршрута (тропы) Воронежской области, сведения о котором (которых) внесены в Реестр туристских ресурсов Воронежской области (100 баллов);</w:t>
            </w:r>
          </w:p>
          <w:p>
            <w:pPr>
              <w:pStyle w:val="0"/>
              <w:ind w:firstLine="283"/>
              <w:jc w:val="both"/>
            </w:pPr>
            <w:r>
              <w:rPr>
                <w:sz w:val="20"/>
              </w:rPr>
              <w:t xml:space="preserve">У</w:t>
            </w:r>
            <w:r>
              <w:rPr>
                <w:sz w:val="20"/>
                <w:vertAlign w:val="subscript"/>
              </w:rPr>
              <w:t xml:space="preserve">1</w:t>
            </w:r>
            <w:r>
              <w:rPr>
                <w:sz w:val="20"/>
              </w:rPr>
              <w:t xml:space="preserve"> = 0, если сведения о реализации проекта (общественной инициативы) в радиусе не более 10 км от туристского ресурса и (или) участка туристского маршрута (тропы) Воронежской области, сведения о котором (которых) внесены в Реестр туристских ресурсов Воронежской области, не представлены (0 баллов)</w:t>
            </w:r>
          </w:p>
        </w:tc>
      </w:tr>
      <w:tr>
        <w:tc>
          <w:tcPr>
            <w:tcW w:w="454" w:type="dxa"/>
          </w:tcPr>
          <w:p>
            <w:pPr>
              <w:pStyle w:val="0"/>
              <w:jc w:val="center"/>
            </w:pPr>
            <w:r>
              <w:rPr>
                <w:sz w:val="20"/>
              </w:rPr>
              <w:t xml:space="preserve">2</w:t>
            </w:r>
          </w:p>
        </w:tc>
        <w:tc>
          <w:tcPr>
            <w:tcW w:w="2041" w:type="dxa"/>
          </w:tcPr>
          <w:p>
            <w:pPr>
              <w:pStyle w:val="0"/>
              <w:jc w:val="center"/>
            </w:pPr>
            <w:r>
              <w:rPr>
                <w:sz w:val="20"/>
              </w:rPr>
              <w:t xml:space="preserve">Наличие у участника отбора опыта реализации проектов в туристской сфере</w:t>
            </w:r>
          </w:p>
        </w:tc>
        <w:tc>
          <w:tcPr>
            <w:tcW w:w="2721" w:type="dxa"/>
          </w:tcPr>
          <w:p>
            <w:pPr>
              <w:pStyle w:val="0"/>
              <w:jc w:val="center"/>
            </w:pPr>
            <w:r>
              <w:rPr>
                <w:sz w:val="20"/>
              </w:rPr>
              <w:t xml:space="preserve">Опыт более 1 - 3 лет и (или) более 1 - 3 реализованных проектов в туристской сфере.</w:t>
            </w:r>
          </w:p>
          <w:p>
            <w:pPr>
              <w:pStyle w:val="0"/>
              <w:jc w:val="center"/>
            </w:pPr>
            <w:r>
              <w:rPr>
                <w:sz w:val="20"/>
              </w:rPr>
              <w:t xml:space="preserve">20</w:t>
            </w:r>
          </w:p>
        </w:tc>
        <w:tc>
          <w:tcPr>
            <w:tcW w:w="3798" w:type="dxa"/>
          </w:tcPr>
          <w:p>
            <w:pPr>
              <w:pStyle w:val="0"/>
              <w:ind w:firstLine="283"/>
              <w:jc w:val="both"/>
            </w:pPr>
            <w:r>
              <w:rPr>
                <w:sz w:val="20"/>
              </w:rPr>
              <w:t xml:space="preserve">Расчет критерия осуществляется по формуле:</w:t>
            </w:r>
          </w:p>
          <w:p>
            <w:pPr>
              <w:pStyle w:val="0"/>
              <w:ind w:firstLine="283"/>
              <w:jc w:val="both"/>
            </w:pPr>
            <w:r>
              <w:rPr>
                <w:sz w:val="20"/>
              </w:rPr>
              <w:t xml:space="preserve">К</w:t>
            </w:r>
            <w:r>
              <w:rPr>
                <w:sz w:val="20"/>
                <w:vertAlign w:val="subscript"/>
              </w:rPr>
              <w:t xml:space="preserve">2</w:t>
            </w:r>
            <w:r>
              <w:rPr>
                <w:sz w:val="20"/>
              </w:rPr>
              <w:t xml:space="preserve"> = У</w:t>
            </w:r>
            <w:r>
              <w:rPr>
                <w:sz w:val="20"/>
                <w:vertAlign w:val="subscript"/>
              </w:rPr>
              <w:t xml:space="preserve">2</w:t>
            </w:r>
            <w:r>
              <w:rPr>
                <w:sz w:val="20"/>
              </w:rPr>
              <w:t xml:space="preserve"> * В</w:t>
            </w:r>
            <w:r>
              <w:rPr>
                <w:sz w:val="20"/>
                <w:vertAlign w:val="subscript"/>
              </w:rPr>
              <w:t xml:space="preserve">2</w:t>
            </w:r>
            <w:r>
              <w:rPr>
                <w:sz w:val="20"/>
              </w:rPr>
              <w:t xml:space="preserve">, где:</w:t>
            </w:r>
          </w:p>
          <w:p>
            <w:pPr>
              <w:pStyle w:val="0"/>
              <w:ind w:firstLine="283"/>
              <w:jc w:val="both"/>
            </w:pPr>
            <w:r>
              <w:rPr>
                <w:sz w:val="20"/>
              </w:rPr>
              <w:t xml:space="preserve">К</w:t>
            </w:r>
            <w:r>
              <w:rPr>
                <w:sz w:val="20"/>
                <w:vertAlign w:val="subscript"/>
              </w:rPr>
              <w:t xml:space="preserve">2</w:t>
            </w:r>
            <w:r>
              <w:rPr>
                <w:sz w:val="20"/>
              </w:rPr>
              <w:t xml:space="preserve"> - количество баллов по результатам оценки критерия, указанного в графе 2 настоящей строки;</w:t>
            </w:r>
          </w:p>
          <w:p>
            <w:pPr>
              <w:pStyle w:val="0"/>
              <w:ind w:firstLine="283"/>
              <w:jc w:val="both"/>
            </w:pPr>
            <w:r>
              <w:rPr>
                <w:sz w:val="20"/>
              </w:rPr>
              <w:t xml:space="preserve">В</w:t>
            </w:r>
            <w:r>
              <w:rPr>
                <w:sz w:val="20"/>
                <w:vertAlign w:val="subscript"/>
              </w:rPr>
              <w:t xml:space="preserve">2</w:t>
            </w:r>
            <w:r>
              <w:rPr>
                <w:sz w:val="20"/>
              </w:rPr>
              <w:t xml:space="preserve"> - величина значимости критерия;</w:t>
            </w:r>
          </w:p>
          <w:p>
            <w:pPr>
              <w:pStyle w:val="0"/>
              <w:ind w:firstLine="283"/>
              <w:jc w:val="both"/>
            </w:pPr>
            <w:r>
              <w:rPr>
                <w:sz w:val="20"/>
              </w:rPr>
              <w:t xml:space="preserve">У</w:t>
            </w:r>
            <w:r>
              <w:rPr>
                <w:sz w:val="20"/>
                <w:vertAlign w:val="subscript"/>
              </w:rPr>
              <w:t xml:space="preserve">2</w:t>
            </w:r>
            <w:r>
              <w:rPr>
                <w:sz w:val="20"/>
              </w:rPr>
              <w:t xml:space="preserve"> - коэффициент соответствия требованию критерия:</w:t>
            </w:r>
          </w:p>
          <w:p>
            <w:pPr>
              <w:pStyle w:val="0"/>
              <w:ind w:firstLine="283"/>
              <w:jc w:val="both"/>
            </w:pPr>
            <w:r>
              <w:rPr>
                <w:sz w:val="20"/>
              </w:rPr>
              <w:t xml:space="preserve">У</w:t>
            </w:r>
            <w:r>
              <w:rPr>
                <w:sz w:val="20"/>
                <w:vertAlign w:val="subscript"/>
              </w:rPr>
              <w:t xml:space="preserve">2</w:t>
            </w:r>
            <w:r>
              <w:rPr>
                <w:sz w:val="20"/>
              </w:rPr>
              <w:t xml:space="preserve"> = 1, если опыт реализации проектов в туристской сфере участника отбора составляет более 3 лет и (или) участник реализовал более 3 проектов в туристской сфере (100 баллов);</w:t>
            </w:r>
          </w:p>
          <w:p>
            <w:pPr>
              <w:pStyle w:val="0"/>
              <w:ind w:firstLine="283"/>
              <w:jc w:val="both"/>
            </w:pPr>
            <w:r>
              <w:rPr>
                <w:sz w:val="20"/>
              </w:rPr>
              <w:t xml:space="preserve">У</w:t>
            </w:r>
            <w:r>
              <w:rPr>
                <w:sz w:val="20"/>
                <w:vertAlign w:val="subscript"/>
              </w:rPr>
              <w:t xml:space="preserve">2</w:t>
            </w:r>
            <w:r>
              <w:rPr>
                <w:sz w:val="20"/>
              </w:rPr>
              <w:t xml:space="preserve"> = 0,66, если опыт реализации проектов в туристской сфере участника отбора составляет более 2 лет, но не более 3 лет и (или) участник реализовал 3 проекта в туристской сфере (66 баллов);</w:t>
            </w:r>
          </w:p>
          <w:p>
            <w:pPr>
              <w:pStyle w:val="0"/>
              <w:ind w:firstLine="283"/>
              <w:jc w:val="both"/>
            </w:pPr>
            <w:r>
              <w:rPr>
                <w:sz w:val="20"/>
              </w:rPr>
              <w:t xml:space="preserve">У</w:t>
            </w:r>
            <w:r>
              <w:rPr>
                <w:sz w:val="20"/>
                <w:vertAlign w:val="subscript"/>
              </w:rPr>
              <w:t xml:space="preserve">2</w:t>
            </w:r>
            <w:r>
              <w:rPr>
                <w:sz w:val="20"/>
              </w:rPr>
              <w:t xml:space="preserve"> = 0,33, если опыт реализации проектов в туристской сфере участника отбора составляет более 1 года, но не более 2 лет и (или) участник реализовал 2 проекта в туристской сфере (33 балла);</w:t>
            </w:r>
          </w:p>
          <w:p>
            <w:pPr>
              <w:pStyle w:val="0"/>
              <w:ind w:firstLine="283"/>
              <w:jc w:val="both"/>
            </w:pPr>
            <w:r>
              <w:rPr>
                <w:sz w:val="20"/>
              </w:rPr>
              <w:t xml:space="preserve">У</w:t>
            </w:r>
            <w:r>
              <w:rPr>
                <w:sz w:val="20"/>
                <w:vertAlign w:val="subscript"/>
              </w:rPr>
              <w:t xml:space="preserve">2</w:t>
            </w:r>
            <w:r>
              <w:rPr>
                <w:sz w:val="20"/>
              </w:rPr>
              <w:t xml:space="preserve"> = 0, если опыт реализации проектов в туристской сфере участника отбора составляет 1 год или менее и участник реализовал 1 проект в туристской сфере или не реализовал ни одного проекта (0 баллов)</w:t>
            </w:r>
          </w:p>
        </w:tc>
      </w:tr>
      <w:tr>
        <w:tc>
          <w:tcPr>
            <w:tcW w:w="454" w:type="dxa"/>
          </w:tcPr>
          <w:p>
            <w:pPr>
              <w:pStyle w:val="0"/>
              <w:jc w:val="center"/>
            </w:pPr>
            <w:r>
              <w:rPr>
                <w:sz w:val="20"/>
              </w:rPr>
              <w:t xml:space="preserve">3</w:t>
            </w:r>
          </w:p>
        </w:tc>
        <w:tc>
          <w:tcPr>
            <w:tcW w:w="2041" w:type="dxa"/>
          </w:tcPr>
          <w:p>
            <w:pPr>
              <w:pStyle w:val="0"/>
              <w:jc w:val="center"/>
            </w:pPr>
            <w:r>
              <w:rPr>
                <w:sz w:val="20"/>
              </w:rPr>
              <w:t xml:space="preserve">Стабильность проекта и результатов его реализации</w:t>
            </w:r>
          </w:p>
        </w:tc>
        <w:tc>
          <w:tcPr>
            <w:tcW w:w="2721" w:type="dxa"/>
          </w:tcPr>
          <w:p>
            <w:pPr>
              <w:pStyle w:val="0"/>
              <w:jc w:val="center"/>
            </w:pPr>
            <w:r>
              <w:rPr>
                <w:sz w:val="20"/>
              </w:rPr>
              <w:t xml:space="preserve">Объект недвижимого имущества, на территории которого планируется реализация проекта (общественной инициативы), находится в собственности участника отбора либо в длительной аренде.</w:t>
            </w:r>
          </w:p>
          <w:p>
            <w:pPr>
              <w:pStyle w:val="0"/>
              <w:jc w:val="center"/>
            </w:pPr>
            <w:r>
              <w:rPr>
                <w:sz w:val="20"/>
              </w:rPr>
              <w:t xml:space="preserve">20</w:t>
            </w:r>
          </w:p>
        </w:tc>
        <w:tc>
          <w:tcPr>
            <w:tcW w:w="3798" w:type="dxa"/>
          </w:tcPr>
          <w:p>
            <w:pPr>
              <w:pStyle w:val="0"/>
              <w:ind w:firstLine="283"/>
              <w:jc w:val="both"/>
            </w:pPr>
            <w:r>
              <w:rPr>
                <w:sz w:val="20"/>
              </w:rPr>
              <w:t xml:space="preserve">Расчет критерия осуществляется по формуле:</w:t>
            </w:r>
          </w:p>
          <w:p>
            <w:pPr>
              <w:pStyle w:val="0"/>
              <w:ind w:firstLine="283"/>
              <w:jc w:val="both"/>
            </w:pPr>
            <w:r>
              <w:rPr>
                <w:sz w:val="20"/>
              </w:rPr>
              <w:t xml:space="preserve">К</w:t>
            </w:r>
            <w:r>
              <w:rPr>
                <w:sz w:val="20"/>
                <w:vertAlign w:val="subscript"/>
              </w:rPr>
              <w:t xml:space="preserve">3</w:t>
            </w:r>
            <w:r>
              <w:rPr>
                <w:sz w:val="20"/>
              </w:rPr>
              <w:t xml:space="preserve"> = У</w:t>
            </w:r>
            <w:r>
              <w:rPr>
                <w:sz w:val="20"/>
                <w:vertAlign w:val="subscript"/>
              </w:rPr>
              <w:t xml:space="preserve">3</w:t>
            </w:r>
            <w:r>
              <w:rPr>
                <w:sz w:val="20"/>
              </w:rPr>
              <w:t xml:space="preserve"> * В</w:t>
            </w:r>
            <w:r>
              <w:rPr>
                <w:sz w:val="20"/>
                <w:vertAlign w:val="subscript"/>
              </w:rPr>
              <w:t xml:space="preserve">3</w:t>
            </w:r>
            <w:r>
              <w:rPr>
                <w:sz w:val="20"/>
              </w:rPr>
              <w:t xml:space="preserve">, где:</w:t>
            </w:r>
          </w:p>
          <w:p>
            <w:pPr>
              <w:pStyle w:val="0"/>
              <w:ind w:firstLine="283"/>
              <w:jc w:val="both"/>
            </w:pPr>
            <w:r>
              <w:rPr>
                <w:sz w:val="20"/>
              </w:rPr>
              <w:t xml:space="preserve">К</w:t>
            </w:r>
            <w:r>
              <w:rPr>
                <w:sz w:val="20"/>
                <w:vertAlign w:val="subscript"/>
              </w:rPr>
              <w:t xml:space="preserve">3</w:t>
            </w:r>
            <w:r>
              <w:rPr>
                <w:sz w:val="20"/>
              </w:rPr>
              <w:t xml:space="preserve"> - количество баллов по результатам оценки критерия, указанного в графе 2 настоящей строки;</w:t>
            </w:r>
          </w:p>
          <w:p>
            <w:pPr>
              <w:pStyle w:val="0"/>
              <w:ind w:firstLine="283"/>
              <w:jc w:val="both"/>
            </w:pPr>
            <w:r>
              <w:rPr>
                <w:sz w:val="20"/>
              </w:rPr>
              <w:t xml:space="preserve">В</w:t>
            </w:r>
            <w:r>
              <w:rPr>
                <w:sz w:val="20"/>
                <w:vertAlign w:val="subscript"/>
              </w:rPr>
              <w:t xml:space="preserve">3</w:t>
            </w:r>
            <w:r>
              <w:rPr>
                <w:sz w:val="20"/>
              </w:rPr>
              <w:t xml:space="preserve"> - величина значимости критерия;</w:t>
            </w:r>
          </w:p>
          <w:p>
            <w:pPr>
              <w:pStyle w:val="0"/>
              <w:ind w:firstLine="283"/>
              <w:jc w:val="both"/>
            </w:pPr>
            <w:r>
              <w:rPr>
                <w:sz w:val="20"/>
              </w:rPr>
              <w:t xml:space="preserve">У</w:t>
            </w:r>
            <w:r>
              <w:rPr>
                <w:sz w:val="20"/>
                <w:vertAlign w:val="subscript"/>
              </w:rPr>
              <w:t xml:space="preserve">3</w:t>
            </w:r>
            <w:r>
              <w:rPr>
                <w:sz w:val="20"/>
              </w:rPr>
              <w:t xml:space="preserve"> - коэффициент соответствия требованию критерия:</w:t>
            </w:r>
          </w:p>
          <w:p>
            <w:pPr>
              <w:pStyle w:val="0"/>
              <w:ind w:firstLine="283"/>
              <w:jc w:val="both"/>
            </w:pPr>
            <w:r>
              <w:rPr>
                <w:sz w:val="20"/>
              </w:rPr>
              <w:t xml:space="preserve">У</w:t>
            </w:r>
            <w:r>
              <w:rPr>
                <w:sz w:val="20"/>
                <w:vertAlign w:val="subscript"/>
              </w:rPr>
              <w:t xml:space="preserve">3</w:t>
            </w:r>
            <w:r>
              <w:rPr>
                <w:sz w:val="20"/>
              </w:rPr>
              <w:t xml:space="preserve"> = 1, если объект недвижимого имущества, на территории которого планируется реализация проекта (общественной инициативы), находится в собственности участника отбора или на ином праве пользования, право пользования зарегистрировано и срок права пользования не истекает в течение 10 лет с даты подачи заявки (100 баллов);</w:t>
            </w:r>
          </w:p>
          <w:p>
            <w:pPr>
              <w:pStyle w:val="0"/>
              <w:ind w:firstLine="283"/>
              <w:jc w:val="both"/>
            </w:pPr>
            <w:r>
              <w:rPr>
                <w:sz w:val="20"/>
              </w:rPr>
              <w:t xml:space="preserve">У</w:t>
            </w:r>
            <w:r>
              <w:rPr>
                <w:sz w:val="20"/>
                <w:vertAlign w:val="subscript"/>
              </w:rPr>
              <w:t xml:space="preserve">3</w:t>
            </w:r>
            <w:r>
              <w:rPr>
                <w:sz w:val="20"/>
              </w:rPr>
              <w:t xml:space="preserve"> = 0,66, если объект недвижимого имущества, на территории которого планируется реализация проекта (общественной инициативы), находится в аренде или на ином праве пользования, право пользования зарегистрировано и срок права пользования не истекает в течение 3 лет с даты подачи заявки (66 баллов);</w:t>
            </w:r>
          </w:p>
          <w:p>
            <w:pPr>
              <w:pStyle w:val="0"/>
              <w:ind w:firstLine="283"/>
              <w:jc w:val="both"/>
            </w:pPr>
            <w:r>
              <w:rPr>
                <w:sz w:val="20"/>
              </w:rPr>
              <w:t xml:space="preserve">У</w:t>
            </w:r>
            <w:r>
              <w:rPr>
                <w:sz w:val="20"/>
                <w:vertAlign w:val="subscript"/>
              </w:rPr>
              <w:t xml:space="preserve">3</w:t>
            </w:r>
            <w:r>
              <w:rPr>
                <w:sz w:val="20"/>
              </w:rPr>
              <w:t xml:space="preserve"> = 0,33, если объект недвижимого имущества, на территории которого планируется реализация проекта (общественной инициативы), находится в аренде или на ином праве пользования, право пользования зарегистрировано и срок права пользования не истекает в течение 12 месяцев с даты подачи заявки (33 балла);</w:t>
            </w:r>
          </w:p>
          <w:p>
            <w:pPr>
              <w:pStyle w:val="0"/>
              <w:ind w:firstLine="283"/>
              <w:jc w:val="both"/>
            </w:pPr>
            <w:r>
              <w:rPr>
                <w:sz w:val="20"/>
              </w:rPr>
              <w:t xml:space="preserve">У</w:t>
            </w:r>
            <w:r>
              <w:rPr>
                <w:sz w:val="20"/>
                <w:vertAlign w:val="subscript"/>
              </w:rPr>
              <w:t xml:space="preserve">3</w:t>
            </w:r>
            <w:r>
              <w:rPr>
                <w:sz w:val="20"/>
              </w:rPr>
              <w:t xml:space="preserve"> = 0, если объект недвижимого имущества, на территории которого планируется реализация проекта (общественной инициативы), находится в аренде или на ином праве пользования и срок права пользования истекает в течение 12 месяцев с даты подачи заявки (0 баллов)</w:t>
            </w:r>
          </w:p>
        </w:tc>
      </w:tr>
      <w:tr>
        <w:tc>
          <w:tcPr>
            <w:tcW w:w="454" w:type="dxa"/>
          </w:tcPr>
          <w:p>
            <w:pPr>
              <w:pStyle w:val="0"/>
              <w:jc w:val="center"/>
            </w:pPr>
            <w:r>
              <w:rPr>
                <w:sz w:val="20"/>
              </w:rPr>
              <w:t xml:space="preserve">4</w:t>
            </w:r>
          </w:p>
        </w:tc>
        <w:tc>
          <w:tcPr>
            <w:tcW w:w="2041" w:type="dxa"/>
          </w:tcPr>
          <w:p>
            <w:pPr>
              <w:pStyle w:val="0"/>
              <w:jc w:val="center"/>
            </w:pPr>
            <w:r>
              <w:rPr>
                <w:sz w:val="20"/>
              </w:rPr>
              <w:t xml:space="preserve">Создание условий для лиц с ограниченными возможностями здоровья</w:t>
            </w:r>
          </w:p>
        </w:tc>
        <w:tc>
          <w:tcPr>
            <w:tcW w:w="2721" w:type="dxa"/>
          </w:tcPr>
          <w:p>
            <w:pPr>
              <w:pStyle w:val="0"/>
              <w:jc w:val="center"/>
            </w:pPr>
            <w:r>
              <w:rPr>
                <w:sz w:val="20"/>
              </w:rPr>
              <w:t xml:space="preserve">Проектом (общественной инициативой) предполагается создание условий для лиц с ограниченными возможностями здоровья.</w:t>
            </w:r>
          </w:p>
          <w:p>
            <w:pPr>
              <w:pStyle w:val="0"/>
              <w:jc w:val="center"/>
            </w:pPr>
            <w:r>
              <w:rPr>
                <w:sz w:val="20"/>
              </w:rPr>
              <w:t xml:space="preserve">10</w:t>
            </w:r>
          </w:p>
        </w:tc>
        <w:tc>
          <w:tcPr>
            <w:tcW w:w="3798" w:type="dxa"/>
          </w:tcPr>
          <w:p>
            <w:pPr>
              <w:pStyle w:val="0"/>
              <w:ind w:firstLine="283"/>
              <w:jc w:val="both"/>
            </w:pPr>
            <w:r>
              <w:rPr>
                <w:sz w:val="20"/>
              </w:rPr>
              <w:t xml:space="preserve">Расчет критерия осуществляется по формуле:</w:t>
            </w:r>
          </w:p>
          <w:p>
            <w:pPr>
              <w:pStyle w:val="0"/>
              <w:ind w:firstLine="283"/>
              <w:jc w:val="both"/>
            </w:pPr>
            <w:r>
              <w:rPr>
                <w:sz w:val="20"/>
              </w:rPr>
              <w:t xml:space="preserve">К</w:t>
            </w:r>
            <w:r>
              <w:rPr>
                <w:sz w:val="20"/>
                <w:vertAlign w:val="subscript"/>
              </w:rPr>
              <w:t xml:space="preserve">4</w:t>
            </w:r>
            <w:r>
              <w:rPr>
                <w:sz w:val="20"/>
              </w:rPr>
              <w:t xml:space="preserve"> = У</w:t>
            </w:r>
            <w:r>
              <w:rPr>
                <w:sz w:val="20"/>
                <w:vertAlign w:val="subscript"/>
              </w:rPr>
              <w:t xml:space="preserve">4</w:t>
            </w:r>
            <w:r>
              <w:rPr>
                <w:sz w:val="20"/>
              </w:rPr>
              <w:t xml:space="preserve"> * В</w:t>
            </w:r>
            <w:r>
              <w:rPr>
                <w:sz w:val="20"/>
                <w:vertAlign w:val="subscript"/>
              </w:rPr>
              <w:t xml:space="preserve">4</w:t>
            </w:r>
            <w:r>
              <w:rPr>
                <w:sz w:val="20"/>
              </w:rPr>
              <w:t xml:space="preserve">, где:</w:t>
            </w:r>
          </w:p>
          <w:p>
            <w:pPr>
              <w:pStyle w:val="0"/>
              <w:ind w:firstLine="283"/>
              <w:jc w:val="both"/>
            </w:pPr>
            <w:r>
              <w:rPr>
                <w:sz w:val="20"/>
              </w:rPr>
              <w:t xml:space="preserve">К</w:t>
            </w:r>
            <w:r>
              <w:rPr>
                <w:sz w:val="20"/>
                <w:vertAlign w:val="subscript"/>
              </w:rPr>
              <w:t xml:space="preserve">4</w:t>
            </w:r>
            <w:r>
              <w:rPr>
                <w:sz w:val="20"/>
              </w:rPr>
              <w:t xml:space="preserve"> - количество баллов по результатам оценки критерия, указанного в графе 2 настоящей строки;</w:t>
            </w:r>
          </w:p>
          <w:p>
            <w:pPr>
              <w:pStyle w:val="0"/>
              <w:ind w:firstLine="283"/>
              <w:jc w:val="both"/>
            </w:pPr>
            <w:r>
              <w:rPr>
                <w:sz w:val="20"/>
              </w:rPr>
              <w:t xml:space="preserve">В</w:t>
            </w:r>
            <w:r>
              <w:rPr>
                <w:sz w:val="20"/>
                <w:vertAlign w:val="subscript"/>
              </w:rPr>
              <w:t xml:space="preserve">4</w:t>
            </w:r>
            <w:r>
              <w:rPr>
                <w:sz w:val="20"/>
              </w:rPr>
              <w:t xml:space="preserve"> - величина значимости критерия;</w:t>
            </w:r>
          </w:p>
          <w:p>
            <w:pPr>
              <w:pStyle w:val="0"/>
              <w:ind w:firstLine="283"/>
              <w:jc w:val="both"/>
            </w:pPr>
            <w:r>
              <w:rPr>
                <w:sz w:val="20"/>
              </w:rPr>
              <w:t xml:space="preserve">У</w:t>
            </w:r>
            <w:r>
              <w:rPr>
                <w:sz w:val="20"/>
                <w:vertAlign w:val="subscript"/>
              </w:rPr>
              <w:t xml:space="preserve">4</w:t>
            </w:r>
            <w:r>
              <w:rPr>
                <w:sz w:val="20"/>
              </w:rPr>
              <w:t xml:space="preserve"> - коэффициент соответствия требованию критерия:</w:t>
            </w:r>
          </w:p>
          <w:p>
            <w:pPr>
              <w:pStyle w:val="0"/>
              <w:ind w:firstLine="283"/>
              <w:jc w:val="both"/>
            </w:pPr>
            <w:r>
              <w:rPr>
                <w:sz w:val="20"/>
              </w:rPr>
              <w:t xml:space="preserve">У</w:t>
            </w:r>
            <w:r>
              <w:rPr>
                <w:sz w:val="20"/>
                <w:vertAlign w:val="subscript"/>
              </w:rPr>
              <w:t xml:space="preserve">4</w:t>
            </w:r>
            <w:r>
              <w:rPr>
                <w:sz w:val="20"/>
              </w:rPr>
              <w:t xml:space="preserve"> = 1, если проектом предполагается создание условий для лиц с ограниченными возможностями здоровья (100 баллов);</w:t>
            </w:r>
          </w:p>
          <w:p>
            <w:pPr>
              <w:pStyle w:val="0"/>
              <w:ind w:firstLine="283"/>
              <w:jc w:val="both"/>
            </w:pPr>
            <w:r>
              <w:rPr>
                <w:sz w:val="20"/>
              </w:rPr>
              <w:t xml:space="preserve">У</w:t>
            </w:r>
            <w:r>
              <w:rPr>
                <w:sz w:val="20"/>
                <w:vertAlign w:val="subscript"/>
              </w:rPr>
              <w:t xml:space="preserve">4</w:t>
            </w:r>
            <w:r>
              <w:rPr>
                <w:sz w:val="20"/>
              </w:rPr>
              <w:t xml:space="preserve"> = 0, если проектом не предполагается создание условий для лиц с ограниченными возможностями здоровья (0 баллов)</w:t>
            </w:r>
          </w:p>
        </w:tc>
      </w:tr>
      <w:tr>
        <w:tc>
          <w:tcPr>
            <w:tcW w:w="454" w:type="dxa"/>
          </w:tcPr>
          <w:p>
            <w:pPr>
              <w:pStyle w:val="0"/>
              <w:jc w:val="center"/>
            </w:pPr>
            <w:r>
              <w:rPr>
                <w:sz w:val="20"/>
              </w:rPr>
              <w:t xml:space="preserve">5</w:t>
            </w:r>
          </w:p>
        </w:tc>
        <w:tc>
          <w:tcPr>
            <w:tcW w:w="2041" w:type="dxa"/>
          </w:tcPr>
          <w:p>
            <w:pPr>
              <w:pStyle w:val="0"/>
              <w:jc w:val="center"/>
            </w:pPr>
            <w:r>
              <w:rPr>
                <w:sz w:val="20"/>
              </w:rPr>
              <w:t xml:space="preserve">Функционирование или эксплуатация результата реализации проекта</w:t>
            </w:r>
          </w:p>
        </w:tc>
        <w:tc>
          <w:tcPr>
            <w:tcW w:w="2721" w:type="dxa"/>
          </w:tcPr>
          <w:p>
            <w:pPr>
              <w:pStyle w:val="0"/>
              <w:jc w:val="center"/>
            </w:pPr>
            <w:r>
              <w:rPr>
                <w:sz w:val="20"/>
              </w:rPr>
              <w:t xml:space="preserve">Проект (общественная инициатива) предполагает круглогодичное функционирование или эксплуатацию.</w:t>
            </w:r>
          </w:p>
          <w:p>
            <w:pPr>
              <w:pStyle w:val="0"/>
              <w:jc w:val="center"/>
            </w:pPr>
            <w:r>
              <w:rPr>
                <w:sz w:val="20"/>
              </w:rPr>
              <w:t xml:space="preserve">10</w:t>
            </w:r>
          </w:p>
        </w:tc>
        <w:tc>
          <w:tcPr>
            <w:tcW w:w="3798" w:type="dxa"/>
          </w:tcPr>
          <w:p>
            <w:pPr>
              <w:pStyle w:val="0"/>
              <w:ind w:firstLine="283"/>
              <w:jc w:val="both"/>
            </w:pPr>
            <w:r>
              <w:rPr>
                <w:sz w:val="20"/>
              </w:rPr>
              <w:t xml:space="preserve">Расчет критерия осуществляется по формуле:</w:t>
            </w:r>
          </w:p>
          <w:p>
            <w:pPr>
              <w:pStyle w:val="0"/>
              <w:ind w:firstLine="283"/>
              <w:jc w:val="both"/>
            </w:pPr>
            <w:r>
              <w:rPr>
                <w:sz w:val="20"/>
              </w:rPr>
              <w:t xml:space="preserve">К</w:t>
            </w:r>
            <w:r>
              <w:rPr>
                <w:sz w:val="20"/>
                <w:vertAlign w:val="subscript"/>
              </w:rPr>
              <w:t xml:space="preserve">5</w:t>
            </w:r>
            <w:r>
              <w:rPr>
                <w:sz w:val="20"/>
              </w:rPr>
              <w:t xml:space="preserve"> = У</w:t>
            </w:r>
            <w:r>
              <w:rPr>
                <w:sz w:val="20"/>
                <w:vertAlign w:val="subscript"/>
              </w:rPr>
              <w:t xml:space="preserve">5</w:t>
            </w:r>
            <w:r>
              <w:rPr>
                <w:sz w:val="20"/>
              </w:rPr>
              <w:t xml:space="preserve"> * В</w:t>
            </w:r>
            <w:r>
              <w:rPr>
                <w:sz w:val="20"/>
                <w:vertAlign w:val="subscript"/>
              </w:rPr>
              <w:t xml:space="preserve">5</w:t>
            </w:r>
            <w:r>
              <w:rPr>
                <w:sz w:val="20"/>
              </w:rPr>
              <w:t xml:space="preserve">, где:</w:t>
            </w:r>
          </w:p>
          <w:p>
            <w:pPr>
              <w:pStyle w:val="0"/>
              <w:ind w:firstLine="283"/>
              <w:jc w:val="both"/>
            </w:pPr>
            <w:r>
              <w:rPr>
                <w:sz w:val="20"/>
              </w:rPr>
              <w:t xml:space="preserve">К</w:t>
            </w:r>
            <w:r>
              <w:rPr>
                <w:sz w:val="20"/>
                <w:vertAlign w:val="subscript"/>
              </w:rPr>
              <w:t xml:space="preserve">5</w:t>
            </w:r>
            <w:r>
              <w:rPr>
                <w:sz w:val="20"/>
              </w:rPr>
              <w:t xml:space="preserve"> - количество баллов по результатам оценки критерия, указанного в графе 2 настоящей строки;</w:t>
            </w:r>
          </w:p>
          <w:p>
            <w:pPr>
              <w:pStyle w:val="0"/>
              <w:ind w:firstLine="283"/>
              <w:jc w:val="both"/>
            </w:pPr>
            <w:r>
              <w:rPr>
                <w:sz w:val="20"/>
              </w:rPr>
              <w:t xml:space="preserve">В</w:t>
            </w:r>
            <w:r>
              <w:rPr>
                <w:sz w:val="20"/>
                <w:vertAlign w:val="subscript"/>
              </w:rPr>
              <w:t xml:space="preserve">5</w:t>
            </w:r>
            <w:r>
              <w:rPr>
                <w:sz w:val="20"/>
              </w:rPr>
              <w:t xml:space="preserve"> - величина значимости критерия;</w:t>
            </w:r>
          </w:p>
          <w:p>
            <w:pPr>
              <w:pStyle w:val="0"/>
              <w:ind w:firstLine="283"/>
              <w:jc w:val="both"/>
            </w:pPr>
            <w:r>
              <w:rPr>
                <w:sz w:val="20"/>
              </w:rPr>
              <w:t xml:space="preserve">У</w:t>
            </w:r>
            <w:r>
              <w:rPr>
                <w:sz w:val="20"/>
                <w:vertAlign w:val="subscript"/>
              </w:rPr>
              <w:t xml:space="preserve">5</w:t>
            </w:r>
            <w:r>
              <w:rPr>
                <w:sz w:val="20"/>
              </w:rPr>
              <w:t xml:space="preserve"> - коэффициент соответствия требованию критерия:</w:t>
            </w:r>
          </w:p>
          <w:p>
            <w:pPr>
              <w:pStyle w:val="0"/>
              <w:ind w:firstLine="283"/>
              <w:jc w:val="both"/>
            </w:pPr>
            <w:r>
              <w:rPr>
                <w:sz w:val="20"/>
              </w:rPr>
              <w:t xml:space="preserve">У</w:t>
            </w:r>
            <w:r>
              <w:rPr>
                <w:sz w:val="20"/>
                <w:vertAlign w:val="subscript"/>
              </w:rPr>
              <w:t xml:space="preserve">5</w:t>
            </w:r>
            <w:r>
              <w:rPr>
                <w:sz w:val="20"/>
              </w:rPr>
              <w:t xml:space="preserve"> = 1, если проект предполагает круглогодичное функционирование или эксплуатацию (100 баллов);</w:t>
            </w:r>
          </w:p>
          <w:p>
            <w:pPr>
              <w:pStyle w:val="0"/>
              <w:ind w:firstLine="283"/>
              <w:jc w:val="both"/>
            </w:pPr>
            <w:r>
              <w:rPr>
                <w:sz w:val="20"/>
              </w:rPr>
              <w:t xml:space="preserve">У</w:t>
            </w:r>
            <w:r>
              <w:rPr>
                <w:sz w:val="20"/>
                <w:vertAlign w:val="subscript"/>
              </w:rPr>
              <w:t xml:space="preserve">5</w:t>
            </w:r>
            <w:r>
              <w:rPr>
                <w:sz w:val="20"/>
              </w:rPr>
              <w:t xml:space="preserve"> = 0, если проект не предполагает круглогодичного функционирования или эксплуатации (0 баллов)</w:t>
            </w:r>
          </w:p>
        </w:tc>
      </w:tr>
      <w:tr>
        <w:tc>
          <w:tcPr>
            <w:tcW w:w="454" w:type="dxa"/>
          </w:tcPr>
          <w:p>
            <w:pPr>
              <w:pStyle w:val="0"/>
              <w:jc w:val="center"/>
            </w:pPr>
            <w:r>
              <w:rPr>
                <w:sz w:val="20"/>
              </w:rPr>
              <w:t xml:space="preserve">6</w:t>
            </w:r>
          </w:p>
        </w:tc>
        <w:tc>
          <w:tcPr>
            <w:tcW w:w="2041" w:type="dxa"/>
          </w:tcPr>
          <w:p>
            <w:pPr>
              <w:pStyle w:val="0"/>
              <w:jc w:val="center"/>
            </w:pPr>
            <w:r>
              <w:rPr>
                <w:sz w:val="20"/>
              </w:rPr>
              <w:t xml:space="preserve">Соответствие основного вида экономической деятельности участника отбора по Общероссийскому </w:t>
            </w:r>
            <w:hyperlink w:history="0" r:id="rId16"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классификатору</w:t>
              </w:r>
            </w:hyperlink>
            <w:r>
              <w:rPr>
                <w:sz w:val="20"/>
              </w:rPr>
              <w:t xml:space="preserve"> видов экономической деятельности целям реализации проекта (общественной инициативы)</w:t>
            </w:r>
          </w:p>
        </w:tc>
        <w:tc>
          <w:tcPr>
            <w:tcW w:w="2721" w:type="dxa"/>
          </w:tcPr>
          <w:p>
            <w:pPr>
              <w:pStyle w:val="0"/>
              <w:jc w:val="center"/>
            </w:pPr>
            <w:r>
              <w:rPr>
                <w:sz w:val="20"/>
              </w:rPr>
              <w:t xml:space="preserve">Целям реализации проекта (общественной инициативы) соответствует основной или дополнительный вид экономической деятельности участника отбора согласно Общероссийскому </w:t>
            </w:r>
            <w:hyperlink w:history="0" r:id="rId17"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классификатору</w:t>
              </w:r>
            </w:hyperlink>
            <w:r>
              <w:rPr>
                <w:sz w:val="20"/>
              </w:rPr>
              <w:t xml:space="preserve"> видов экономической деятельности (ОК 029-2014 (КДЕС Ред. 2)), утвержденному </w:t>
            </w:r>
            <w:hyperlink w:history="0" r:id="rId18" w:tooltip="Приказ Росстандарта от 31.01.2014 N 14-ст (ред. от 27.12.2024) &quot;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quot; {КонсультантПлюс}">
              <w:r>
                <w:rPr>
                  <w:sz w:val="20"/>
                  <w:color w:val="0000ff"/>
                </w:rPr>
                <w:t xml:space="preserve">Приказом</w:t>
              </w:r>
            </w:hyperlink>
            <w:r>
              <w:rPr>
                <w:sz w:val="20"/>
              </w:rPr>
              <w:t xml:space="preserve"> Росстандарта от 31.01.2014 N 14-ст</w:t>
            </w:r>
          </w:p>
          <w:p>
            <w:pPr>
              <w:pStyle w:val="0"/>
              <w:jc w:val="center"/>
            </w:pPr>
            <w:r>
              <w:rPr>
                <w:sz w:val="20"/>
              </w:rPr>
              <w:t xml:space="preserve">(далее - ОКВЭД).</w:t>
            </w:r>
          </w:p>
          <w:p>
            <w:pPr>
              <w:pStyle w:val="0"/>
              <w:jc w:val="center"/>
            </w:pPr>
            <w:r>
              <w:rPr>
                <w:sz w:val="20"/>
              </w:rPr>
              <w:t xml:space="preserve">10</w:t>
            </w:r>
          </w:p>
        </w:tc>
        <w:tc>
          <w:tcPr>
            <w:tcW w:w="3798" w:type="dxa"/>
          </w:tcPr>
          <w:p>
            <w:pPr>
              <w:pStyle w:val="0"/>
              <w:ind w:firstLine="283"/>
              <w:jc w:val="both"/>
            </w:pPr>
            <w:r>
              <w:rPr>
                <w:sz w:val="20"/>
              </w:rPr>
              <w:t xml:space="preserve">Расчет критерия осуществляется по формуле:</w:t>
            </w:r>
          </w:p>
          <w:p>
            <w:pPr>
              <w:pStyle w:val="0"/>
              <w:ind w:firstLine="283"/>
              <w:jc w:val="both"/>
            </w:pPr>
            <w:r>
              <w:rPr>
                <w:sz w:val="20"/>
              </w:rPr>
              <w:t xml:space="preserve">К</w:t>
            </w:r>
            <w:r>
              <w:rPr>
                <w:sz w:val="20"/>
                <w:vertAlign w:val="subscript"/>
              </w:rPr>
              <w:t xml:space="preserve">6</w:t>
            </w:r>
            <w:r>
              <w:rPr>
                <w:sz w:val="20"/>
              </w:rPr>
              <w:t xml:space="preserve"> = У</w:t>
            </w:r>
            <w:r>
              <w:rPr>
                <w:sz w:val="20"/>
                <w:vertAlign w:val="subscript"/>
              </w:rPr>
              <w:t xml:space="preserve">6</w:t>
            </w:r>
            <w:r>
              <w:rPr>
                <w:sz w:val="20"/>
              </w:rPr>
              <w:t xml:space="preserve"> * В</w:t>
            </w:r>
            <w:r>
              <w:rPr>
                <w:sz w:val="20"/>
                <w:vertAlign w:val="subscript"/>
              </w:rPr>
              <w:t xml:space="preserve">6</w:t>
            </w:r>
            <w:r>
              <w:rPr>
                <w:sz w:val="20"/>
              </w:rPr>
              <w:t xml:space="preserve">, где:</w:t>
            </w:r>
          </w:p>
          <w:p>
            <w:pPr>
              <w:pStyle w:val="0"/>
              <w:ind w:firstLine="283"/>
              <w:jc w:val="both"/>
            </w:pPr>
            <w:r>
              <w:rPr>
                <w:sz w:val="20"/>
              </w:rPr>
              <w:t xml:space="preserve">К</w:t>
            </w:r>
            <w:r>
              <w:rPr>
                <w:sz w:val="20"/>
                <w:vertAlign w:val="subscript"/>
              </w:rPr>
              <w:t xml:space="preserve">6</w:t>
            </w:r>
            <w:r>
              <w:rPr>
                <w:sz w:val="20"/>
              </w:rPr>
              <w:t xml:space="preserve"> - количество баллов по результатам оценки критерия, указанного в графе 2 настоящей строки;</w:t>
            </w:r>
          </w:p>
          <w:p>
            <w:pPr>
              <w:pStyle w:val="0"/>
              <w:ind w:firstLine="283"/>
              <w:jc w:val="both"/>
            </w:pPr>
            <w:r>
              <w:rPr>
                <w:sz w:val="20"/>
              </w:rPr>
              <w:t xml:space="preserve">В</w:t>
            </w:r>
            <w:r>
              <w:rPr>
                <w:sz w:val="20"/>
                <w:vertAlign w:val="subscript"/>
              </w:rPr>
              <w:t xml:space="preserve">6</w:t>
            </w:r>
            <w:r>
              <w:rPr>
                <w:sz w:val="20"/>
              </w:rPr>
              <w:t xml:space="preserve"> - величина значимости критерия;</w:t>
            </w:r>
          </w:p>
          <w:p>
            <w:pPr>
              <w:pStyle w:val="0"/>
              <w:ind w:firstLine="283"/>
              <w:jc w:val="both"/>
            </w:pPr>
            <w:r>
              <w:rPr>
                <w:sz w:val="20"/>
              </w:rPr>
              <w:t xml:space="preserve">У</w:t>
            </w:r>
            <w:r>
              <w:rPr>
                <w:sz w:val="20"/>
                <w:vertAlign w:val="subscript"/>
              </w:rPr>
              <w:t xml:space="preserve">6</w:t>
            </w:r>
            <w:r>
              <w:rPr>
                <w:sz w:val="20"/>
              </w:rPr>
              <w:t xml:space="preserve"> - коэффициент соответствия требованию критерия:</w:t>
            </w:r>
          </w:p>
          <w:p>
            <w:pPr>
              <w:pStyle w:val="0"/>
              <w:ind w:firstLine="283"/>
              <w:jc w:val="both"/>
            </w:pPr>
            <w:r>
              <w:rPr>
                <w:sz w:val="20"/>
              </w:rPr>
              <w:t xml:space="preserve">У</w:t>
            </w:r>
            <w:r>
              <w:rPr>
                <w:sz w:val="20"/>
                <w:vertAlign w:val="subscript"/>
              </w:rPr>
              <w:t xml:space="preserve">6</w:t>
            </w:r>
            <w:r>
              <w:rPr>
                <w:sz w:val="20"/>
              </w:rPr>
              <w:t xml:space="preserve"> = 1, если целям реализации проекта (общественной инициативы) соответствует основной вид экономической деятельности участника отбора согласно </w:t>
            </w:r>
            <w:hyperlink w:history="0" r:id="rId19"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ОКВЭД</w:t>
              </w:r>
            </w:hyperlink>
            <w:r>
              <w:rPr>
                <w:sz w:val="20"/>
              </w:rPr>
              <w:t xml:space="preserve"> (100 баллов);</w:t>
            </w:r>
          </w:p>
          <w:p>
            <w:pPr>
              <w:pStyle w:val="0"/>
              <w:ind w:firstLine="283"/>
              <w:jc w:val="both"/>
            </w:pPr>
            <w:r>
              <w:rPr>
                <w:sz w:val="20"/>
              </w:rPr>
              <w:t xml:space="preserve">У</w:t>
            </w:r>
            <w:r>
              <w:rPr>
                <w:sz w:val="20"/>
                <w:vertAlign w:val="subscript"/>
              </w:rPr>
              <w:t xml:space="preserve">6</w:t>
            </w:r>
            <w:r>
              <w:rPr>
                <w:sz w:val="20"/>
              </w:rPr>
              <w:t xml:space="preserve"> = 0,5, если целям реализации проекта (общественной инициативы) соответствует дополнительный вид экономической деятельности участника отбора согласно </w:t>
            </w:r>
            <w:hyperlink w:history="0" r:id="rId20"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ОКВЭД</w:t>
              </w:r>
            </w:hyperlink>
            <w:r>
              <w:rPr>
                <w:sz w:val="20"/>
              </w:rPr>
              <w:t xml:space="preserve"> (50 баллов);</w:t>
            </w:r>
          </w:p>
          <w:p>
            <w:pPr>
              <w:pStyle w:val="0"/>
              <w:ind w:firstLine="283"/>
              <w:jc w:val="both"/>
            </w:pPr>
            <w:r>
              <w:rPr>
                <w:sz w:val="20"/>
              </w:rPr>
              <w:t xml:space="preserve">У</w:t>
            </w:r>
            <w:r>
              <w:rPr>
                <w:sz w:val="20"/>
                <w:vertAlign w:val="subscript"/>
              </w:rPr>
              <w:t xml:space="preserve">6</w:t>
            </w:r>
            <w:r>
              <w:rPr>
                <w:sz w:val="20"/>
              </w:rPr>
              <w:t xml:space="preserve"> = 0, если целям реализации проекта (общественной инициативы) не соответствуют виды экономической деятельности участника отбора согласно </w:t>
            </w:r>
            <w:hyperlink w:history="0" r:id="rId21"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ОКВЭД</w:t>
              </w:r>
            </w:hyperlink>
            <w:r>
              <w:rPr>
                <w:sz w:val="20"/>
              </w:rPr>
              <w:t xml:space="preserve"> (0 баллов)</w:t>
            </w:r>
          </w:p>
        </w:tc>
      </w:tr>
      <w:tr>
        <w:tc>
          <w:tcPr>
            <w:tcW w:w="454" w:type="dxa"/>
          </w:tcPr>
          <w:p>
            <w:pPr>
              <w:pStyle w:val="0"/>
              <w:jc w:val="center"/>
            </w:pPr>
            <w:r>
              <w:rPr>
                <w:sz w:val="20"/>
              </w:rPr>
              <w:t xml:space="preserve">7</w:t>
            </w:r>
          </w:p>
        </w:tc>
        <w:tc>
          <w:tcPr>
            <w:tcW w:w="2041" w:type="dxa"/>
          </w:tcPr>
          <w:p>
            <w:pPr>
              <w:pStyle w:val="0"/>
              <w:jc w:val="center"/>
            </w:pPr>
            <w:r>
              <w:rPr>
                <w:sz w:val="20"/>
              </w:rPr>
              <w:t xml:space="preserve">Участие в туристско-рекреационном кластере на территории Воронежской области</w:t>
            </w:r>
          </w:p>
        </w:tc>
        <w:tc>
          <w:tcPr>
            <w:tcW w:w="2721" w:type="dxa"/>
          </w:tcPr>
          <w:p>
            <w:pPr>
              <w:pStyle w:val="0"/>
              <w:jc w:val="center"/>
            </w:pPr>
            <w:r>
              <w:rPr>
                <w:sz w:val="20"/>
              </w:rPr>
              <w:t xml:space="preserve">Участник отбора является участником туристско-рекреационного кластера на территории Воронежской области.</w:t>
            </w:r>
          </w:p>
          <w:p>
            <w:pPr>
              <w:pStyle w:val="0"/>
              <w:jc w:val="center"/>
            </w:pPr>
            <w:r>
              <w:rPr>
                <w:sz w:val="20"/>
              </w:rPr>
              <w:t xml:space="preserve">10</w:t>
            </w:r>
          </w:p>
        </w:tc>
        <w:tc>
          <w:tcPr>
            <w:tcW w:w="3798" w:type="dxa"/>
          </w:tcPr>
          <w:p>
            <w:pPr>
              <w:pStyle w:val="0"/>
              <w:ind w:firstLine="283"/>
              <w:jc w:val="both"/>
            </w:pPr>
            <w:r>
              <w:rPr>
                <w:sz w:val="20"/>
              </w:rPr>
              <w:t xml:space="preserve">Расчет критерия осуществляется по формуле:</w:t>
            </w:r>
          </w:p>
          <w:p>
            <w:pPr>
              <w:pStyle w:val="0"/>
              <w:ind w:firstLine="283"/>
              <w:jc w:val="both"/>
            </w:pPr>
            <w:r>
              <w:rPr>
                <w:sz w:val="20"/>
              </w:rPr>
              <w:t xml:space="preserve">К</w:t>
            </w:r>
            <w:r>
              <w:rPr>
                <w:sz w:val="20"/>
                <w:vertAlign w:val="subscript"/>
              </w:rPr>
              <w:t xml:space="preserve">7</w:t>
            </w:r>
            <w:r>
              <w:rPr>
                <w:sz w:val="20"/>
              </w:rPr>
              <w:t xml:space="preserve"> = У</w:t>
            </w:r>
            <w:r>
              <w:rPr>
                <w:sz w:val="20"/>
                <w:vertAlign w:val="subscript"/>
              </w:rPr>
              <w:t xml:space="preserve">7</w:t>
            </w:r>
            <w:r>
              <w:rPr>
                <w:sz w:val="20"/>
              </w:rPr>
              <w:t xml:space="preserve"> * В</w:t>
            </w:r>
            <w:r>
              <w:rPr>
                <w:sz w:val="20"/>
                <w:vertAlign w:val="subscript"/>
              </w:rPr>
              <w:t xml:space="preserve">7</w:t>
            </w:r>
            <w:r>
              <w:rPr>
                <w:sz w:val="20"/>
              </w:rPr>
              <w:t xml:space="preserve">, где:</w:t>
            </w:r>
          </w:p>
          <w:p>
            <w:pPr>
              <w:pStyle w:val="0"/>
              <w:ind w:firstLine="283"/>
              <w:jc w:val="both"/>
            </w:pPr>
            <w:r>
              <w:rPr>
                <w:sz w:val="20"/>
              </w:rPr>
              <w:t xml:space="preserve">К</w:t>
            </w:r>
            <w:r>
              <w:rPr>
                <w:sz w:val="20"/>
                <w:vertAlign w:val="subscript"/>
              </w:rPr>
              <w:t xml:space="preserve">7</w:t>
            </w:r>
            <w:r>
              <w:rPr>
                <w:sz w:val="20"/>
              </w:rPr>
              <w:t xml:space="preserve"> - количество баллов по результатам оценки критерия, указанного в графе 2 настоящей строки;</w:t>
            </w:r>
          </w:p>
          <w:p>
            <w:pPr>
              <w:pStyle w:val="0"/>
              <w:ind w:firstLine="283"/>
              <w:jc w:val="both"/>
            </w:pPr>
            <w:r>
              <w:rPr>
                <w:sz w:val="20"/>
              </w:rPr>
              <w:t xml:space="preserve">В</w:t>
            </w:r>
            <w:r>
              <w:rPr>
                <w:sz w:val="20"/>
                <w:vertAlign w:val="subscript"/>
              </w:rPr>
              <w:t xml:space="preserve">7</w:t>
            </w:r>
            <w:r>
              <w:rPr>
                <w:sz w:val="20"/>
              </w:rPr>
              <w:t xml:space="preserve"> - величина значимости критерия;</w:t>
            </w:r>
          </w:p>
          <w:p>
            <w:pPr>
              <w:pStyle w:val="0"/>
              <w:ind w:firstLine="283"/>
              <w:jc w:val="both"/>
            </w:pPr>
            <w:r>
              <w:rPr>
                <w:sz w:val="20"/>
              </w:rPr>
              <w:t xml:space="preserve">У</w:t>
            </w:r>
            <w:r>
              <w:rPr>
                <w:sz w:val="20"/>
                <w:vertAlign w:val="subscript"/>
              </w:rPr>
              <w:t xml:space="preserve">7</w:t>
            </w:r>
            <w:r>
              <w:rPr>
                <w:sz w:val="20"/>
              </w:rPr>
              <w:t xml:space="preserve"> - коэффициент соответствия требованию критерия:</w:t>
            </w:r>
          </w:p>
          <w:p>
            <w:pPr>
              <w:pStyle w:val="0"/>
              <w:ind w:firstLine="283"/>
              <w:jc w:val="both"/>
            </w:pPr>
            <w:r>
              <w:rPr>
                <w:sz w:val="20"/>
              </w:rPr>
              <w:t xml:space="preserve">У</w:t>
            </w:r>
            <w:r>
              <w:rPr>
                <w:sz w:val="20"/>
                <w:vertAlign w:val="subscript"/>
              </w:rPr>
              <w:t xml:space="preserve">7</w:t>
            </w:r>
            <w:r>
              <w:rPr>
                <w:sz w:val="20"/>
              </w:rPr>
              <w:t xml:space="preserve"> = 1, если участник отбора является участником туристско-рекреационного кластера на территории Воронежской области (100 баллов);</w:t>
            </w:r>
          </w:p>
          <w:p>
            <w:pPr>
              <w:pStyle w:val="0"/>
              <w:ind w:firstLine="283"/>
              <w:jc w:val="both"/>
            </w:pPr>
            <w:r>
              <w:rPr>
                <w:sz w:val="20"/>
              </w:rPr>
              <w:t xml:space="preserve">У</w:t>
            </w:r>
            <w:r>
              <w:rPr>
                <w:sz w:val="20"/>
                <w:vertAlign w:val="subscript"/>
              </w:rPr>
              <w:t xml:space="preserve">7</w:t>
            </w:r>
            <w:r>
              <w:rPr>
                <w:sz w:val="20"/>
              </w:rPr>
              <w:t xml:space="preserve"> = 0, если участник отбора не является участником туристско-рекреационного кластера на территории Воронежской области (0 баллов)</w:t>
            </w:r>
          </w:p>
        </w:tc>
      </w:tr>
      <w:tr>
        <w:tc>
          <w:tcPr>
            <w:tcW w:w="454" w:type="dxa"/>
          </w:tcPr>
          <w:p>
            <w:pPr>
              <w:pStyle w:val="0"/>
              <w:jc w:val="center"/>
            </w:pPr>
            <w:r>
              <w:rPr>
                <w:sz w:val="20"/>
              </w:rPr>
              <w:t xml:space="preserve">8</w:t>
            </w:r>
          </w:p>
        </w:tc>
        <w:tc>
          <w:tcPr>
            <w:tcW w:w="2041" w:type="dxa"/>
          </w:tcPr>
          <w:p>
            <w:pPr>
              <w:pStyle w:val="0"/>
              <w:jc w:val="center"/>
            </w:pPr>
            <w:r>
              <w:rPr>
                <w:sz w:val="20"/>
              </w:rPr>
              <w:t xml:space="preserve">Статус ответственной организации (ЭКГ-рейтинг)</w:t>
            </w:r>
          </w:p>
        </w:tc>
        <w:tc>
          <w:tcPr>
            <w:tcW w:w="2721" w:type="dxa"/>
          </w:tcPr>
          <w:p>
            <w:pPr>
              <w:pStyle w:val="0"/>
              <w:jc w:val="center"/>
            </w:pPr>
            <w:r>
              <w:rPr>
                <w:sz w:val="20"/>
              </w:rPr>
              <w:t xml:space="preserve">Участник отбора состоит в Реестре ответственных организаций Воронежской области в соответствии с </w:t>
            </w:r>
            <w:hyperlink w:history="0" r:id="rId22" w:tooltip="Постановление Правительства Воронежской обл. от 18.11.2024 N 743 (ред. от 07.03.2025) &quot;Об ответственном ведении бизнеса в Воронежской области&quot; (вместе с &quot;Порядком признания юридического лица ответственной организацией, присвоения, продления и основания прекращения статуса ответственной организации&quot;) {КонсультантПлюс}">
              <w:r>
                <w:rPr>
                  <w:sz w:val="20"/>
                  <w:color w:val="0000ff"/>
                </w:rPr>
                <w:t xml:space="preserve">Порядком</w:t>
              </w:r>
            </w:hyperlink>
            <w:r>
              <w:rPr>
                <w:sz w:val="20"/>
              </w:rPr>
              <w:t xml:space="preserve"> признания юридического лица ответственной организацией, присвоения, продления и основания прекращения статуса ответственной организации, утвержденным постановлением Правительства Воронежской области от 18.11.2024 N 743 "Об ответственном ведении бизнеса в Воронежской области" (далее - Реестр ответственных организаций).</w:t>
            </w:r>
          </w:p>
          <w:p>
            <w:pPr>
              <w:pStyle w:val="0"/>
              <w:jc w:val="center"/>
            </w:pPr>
            <w:r>
              <w:rPr>
                <w:sz w:val="20"/>
              </w:rPr>
              <w:t xml:space="preserve">10</w:t>
            </w:r>
          </w:p>
        </w:tc>
        <w:tc>
          <w:tcPr>
            <w:tcW w:w="3798" w:type="dxa"/>
          </w:tcPr>
          <w:p>
            <w:pPr>
              <w:pStyle w:val="0"/>
              <w:ind w:firstLine="283"/>
              <w:jc w:val="both"/>
            </w:pPr>
            <w:r>
              <w:rPr>
                <w:sz w:val="20"/>
              </w:rPr>
              <w:t xml:space="preserve">Расчет критерия осуществляется по формуле:</w:t>
            </w:r>
          </w:p>
          <w:p>
            <w:pPr>
              <w:pStyle w:val="0"/>
              <w:ind w:firstLine="283"/>
              <w:jc w:val="both"/>
            </w:pPr>
            <w:r>
              <w:rPr>
                <w:sz w:val="20"/>
              </w:rPr>
              <w:t xml:space="preserve">К</w:t>
            </w:r>
            <w:r>
              <w:rPr>
                <w:sz w:val="20"/>
                <w:vertAlign w:val="subscript"/>
              </w:rPr>
              <w:t xml:space="preserve">8</w:t>
            </w:r>
            <w:r>
              <w:rPr>
                <w:sz w:val="20"/>
              </w:rPr>
              <w:t xml:space="preserve"> = У</w:t>
            </w:r>
            <w:r>
              <w:rPr>
                <w:sz w:val="20"/>
                <w:vertAlign w:val="subscript"/>
              </w:rPr>
              <w:t xml:space="preserve">8</w:t>
            </w:r>
            <w:r>
              <w:rPr>
                <w:sz w:val="20"/>
              </w:rPr>
              <w:t xml:space="preserve"> * В</w:t>
            </w:r>
            <w:r>
              <w:rPr>
                <w:sz w:val="20"/>
                <w:vertAlign w:val="subscript"/>
              </w:rPr>
              <w:t xml:space="preserve">8</w:t>
            </w:r>
            <w:r>
              <w:rPr>
                <w:sz w:val="20"/>
              </w:rPr>
              <w:t xml:space="preserve">, где:</w:t>
            </w:r>
          </w:p>
          <w:p>
            <w:pPr>
              <w:pStyle w:val="0"/>
              <w:ind w:firstLine="283"/>
              <w:jc w:val="both"/>
            </w:pPr>
            <w:r>
              <w:rPr>
                <w:sz w:val="20"/>
              </w:rPr>
              <w:t xml:space="preserve">К</w:t>
            </w:r>
            <w:r>
              <w:rPr>
                <w:sz w:val="20"/>
                <w:vertAlign w:val="subscript"/>
              </w:rPr>
              <w:t xml:space="preserve">8</w:t>
            </w:r>
            <w:r>
              <w:rPr>
                <w:sz w:val="20"/>
              </w:rPr>
              <w:t xml:space="preserve"> - количество баллов по результатам оценки критерия, указанного в графе 2 настоящей строки;</w:t>
            </w:r>
          </w:p>
          <w:p>
            <w:pPr>
              <w:pStyle w:val="0"/>
              <w:ind w:firstLine="283"/>
              <w:jc w:val="both"/>
            </w:pPr>
            <w:r>
              <w:rPr>
                <w:sz w:val="20"/>
              </w:rPr>
              <w:t xml:space="preserve">В</w:t>
            </w:r>
            <w:r>
              <w:rPr>
                <w:sz w:val="20"/>
                <w:vertAlign w:val="subscript"/>
              </w:rPr>
              <w:t xml:space="preserve">8</w:t>
            </w:r>
            <w:r>
              <w:rPr>
                <w:sz w:val="20"/>
              </w:rPr>
              <w:t xml:space="preserve"> - величина значимости критерия;</w:t>
            </w:r>
          </w:p>
          <w:p>
            <w:pPr>
              <w:pStyle w:val="0"/>
              <w:ind w:firstLine="283"/>
              <w:jc w:val="both"/>
            </w:pPr>
            <w:r>
              <w:rPr>
                <w:sz w:val="20"/>
              </w:rPr>
              <w:t xml:space="preserve">У</w:t>
            </w:r>
            <w:r>
              <w:rPr>
                <w:sz w:val="20"/>
                <w:vertAlign w:val="subscript"/>
              </w:rPr>
              <w:t xml:space="preserve">8</w:t>
            </w:r>
            <w:r>
              <w:rPr>
                <w:sz w:val="20"/>
              </w:rPr>
              <w:t xml:space="preserve"> - коэффициент соответствия требованию критерия:</w:t>
            </w:r>
          </w:p>
          <w:p>
            <w:pPr>
              <w:pStyle w:val="0"/>
              <w:ind w:firstLine="283"/>
              <w:jc w:val="both"/>
            </w:pPr>
            <w:r>
              <w:rPr>
                <w:sz w:val="20"/>
              </w:rPr>
              <w:t xml:space="preserve">У</w:t>
            </w:r>
            <w:r>
              <w:rPr>
                <w:sz w:val="20"/>
                <w:vertAlign w:val="subscript"/>
              </w:rPr>
              <w:t xml:space="preserve">8</w:t>
            </w:r>
            <w:r>
              <w:rPr>
                <w:sz w:val="20"/>
              </w:rPr>
              <w:t xml:space="preserve"> = 1, если участник отбора состоит в Реестре ответственных организаций (100 баллов);</w:t>
            </w:r>
          </w:p>
          <w:p>
            <w:pPr>
              <w:pStyle w:val="0"/>
              <w:ind w:firstLine="283"/>
              <w:jc w:val="both"/>
            </w:pPr>
            <w:r>
              <w:rPr>
                <w:sz w:val="20"/>
              </w:rPr>
              <w:t xml:space="preserve">У</w:t>
            </w:r>
            <w:r>
              <w:rPr>
                <w:sz w:val="20"/>
                <w:vertAlign w:val="subscript"/>
              </w:rPr>
              <w:t xml:space="preserve">8</w:t>
            </w:r>
            <w:r>
              <w:rPr>
                <w:sz w:val="20"/>
              </w:rPr>
              <w:t xml:space="preserve"> = 0, если участник отбора не состоит в Реестре ответственных организаций (0 баллов)</w:t>
            </w:r>
          </w:p>
        </w:tc>
      </w:tr>
    </w:tbl>
    <w:p>
      <w:pPr>
        <w:pStyle w:val="0"/>
        <w:ind w:firstLine="540"/>
        <w:jc w:val="both"/>
      </w:pPr>
      <w:r>
        <w:rPr>
          <w:sz w:val="20"/>
        </w:rPr>
      </w:r>
    </w:p>
    <w:p>
      <w:pPr>
        <w:pStyle w:val="0"/>
        <w:ind w:firstLine="540"/>
        <w:jc w:val="both"/>
      </w:pPr>
      <w:r>
        <w:rPr>
          <w:sz w:val="20"/>
        </w:rPr>
        <w:t xml:space="preserve">Расчет итогового количества баллов согласно критериям оценки осуществляется по формуле:</w:t>
      </w:r>
    </w:p>
    <w:p>
      <w:pPr>
        <w:pStyle w:val="0"/>
        <w:ind w:firstLine="540"/>
        <w:jc w:val="both"/>
      </w:pPr>
      <w:r>
        <w:rPr>
          <w:sz w:val="20"/>
        </w:rPr>
      </w:r>
    </w:p>
    <w:p>
      <w:pPr>
        <w:pStyle w:val="0"/>
        <w:ind w:firstLine="540"/>
        <w:jc w:val="both"/>
      </w:pPr>
      <w:r>
        <w:rPr>
          <w:sz w:val="20"/>
        </w:rPr>
        <w:t xml:space="preserve">Итоговое количество баллов = </w:t>
      </w:r>
      <w:r>
        <w:rPr>
          <w:position w:val="-24"/>
        </w:rPr>
        <w:drawing>
          <wp:inline distT="0" distB="0" distL="0" distR="0">
            <wp:extent cx="510540" cy="4419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510540" cy="441960"/>
                    </a:xfrm>
                    <a:prstGeom prst="rect">
                      <a:avLst/>
                    </a:prstGeom>
                    <a:noFill/>
                    <a:ln>
                      <a:noFill/>
                    </a:ln>
                  </pic:spPr>
                </pic:pic>
              </a:graphicData>
            </a:graphic>
          </wp:inline>
        </w:drawing>
      </w:r>
      <w:r>
        <w:rPr>
          <w:sz w:val="20"/>
        </w:rPr>
        <w:t xml:space="preserve">.</w:t>
      </w:r>
    </w:p>
    <w:p>
      <w:pPr>
        <w:pStyle w:val="0"/>
        <w:ind w:firstLine="540"/>
        <w:jc w:val="both"/>
      </w:pPr>
      <w:r>
        <w:rPr>
          <w:sz w:val="20"/>
        </w:rPr>
      </w:r>
    </w:p>
    <w:p>
      <w:pPr>
        <w:pStyle w:val="0"/>
        <w:ind w:firstLine="540"/>
        <w:jc w:val="both"/>
      </w:pPr>
      <w:r>
        <w:rPr>
          <w:sz w:val="20"/>
        </w:rPr>
        <w:t xml:space="preserve">Округление баллов не производится.</w:t>
      </w:r>
    </w:p>
    <w:bookmarkStart w:id="206" w:name="P206"/>
    <w:bookmarkEnd w:id="206"/>
    <w:p>
      <w:pPr>
        <w:pStyle w:val="0"/>
        <w:spacing w:before="200" w:lineRule="auto"/>
        <w:ind w:firstLine="540"/>
        <w:jc w:val="both"/>
      </w:pPr>
      <w:r>
        <w:rPr>
          <w:sz w:val="20"/>
        </w:rPr>
        <w:t xml:space="preserve">2.9. Обеспечение доступа участников отбора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Заявки формируются участниками отбора в электронной форме посредством заполнения соответствующих экранных форм веб-интерфейса системы "Электронный бюджет" и представляются в систему "Электронный бюджет", в том числе представляются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pPr>
        <w:pStyle w:val="0"/>
        <w:spacing w:before="200" w:lineRule="auto"/>
        <w:ind w:firstLine="540"/>
        <w:jc w:val="both"/>
      </w:pPr>
      <w:r>
        <w:rPr>
          <w:sz w:val="20"/>
        </w:rPr>
        <w:t xml:space="preserve">Заявка подписывается усиленной квалифицированной электронной подписью участника отбора или уполномоченного им лица.</w:t>
      </w:r>
    </w:p>
    <w:p>
      <w:pPr>
        <w:pStyle w:val="0"/>
        <w:spacing w:before="200" w:lineRule="auto"/>
        <w:ind w:firstLine="540"/>
        <w:jc w:val="both"/>
      </w:pPr>
      <w:r>
        <w:rPr>
          <w:sz w:val="20"/>
        </w:rPr>
        <w:t xml:space="preserve">Заявка должна включать в себя в том числе информацию об участнике отбора, документы, подтверждающие соответствие участника отбора требованиям, установленным настоящим Порядком, предлагаемые участником отбора значения результата предоставления гранта и размер запрашиваемого гранта, информацию по каждому критерию оценки, сведения и документы, подтверждающие информацию по каждому критерию оценки, определенные настоящим Порядком.</w:t>
      </w:r>
    </w:p>
    <w:p>
      <w:pPr>
        <w:pStyle w:val="0"/>
        <w:spacing w:before="200" w:lineRule="auto"/>
        <w:ind w:firstLine="540"/>
        <w:jc w:val="both"/>
      </w:pPr>
      <w:r>
        <w:rPr>
          <w:sz w:val="20"/>
        </w:rPr>
        <w:t xml:space="preserve">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pPr>
        <w:pStyle w:val="0"/>
        <w:spacing w:before="200" w:lineRule="auto"/>
        <w:ind w:firstLine="540"/>
        <w:jc w:val="both"/>
      </w:pPr>
      <w:r>
        <w:rPr>
          <w:sz w:val="20"/>
        </w:rPr>
        <w:t xml:space="preserve">При представлении заявки все копии документов, входящих в состав заявки, должны иметь четко читаемый текст. Подчистки и исправления не допускаются, за исключением исправлений, заверенных печатью (при наличии) и подписью должностного лица участника отбора (уполномоченного лица).</w:t>
      </w:r>
    </w:p>
    <w:p>
      <w:pPr>
        <w:pStyle w:val="0"/>
        <w:spacing w:before="200" w:lineRule="auto"/>
        <w:ind w:firstLine="540"/>
        <w:jc w:val="both"/>
      </w:pPr>
      <w:r>
        <w:rPr>
          <w:sz w:val="20"/>
        </w:rPr>
        <w:t xml:space="preserve">Министерство завершает прием заявок в срок, указанный в объявлении о проведении отбора. Заявки и документы, поступившие в Министерство после даты окончания приема заявок, не учитываются и не рассматриваются, за исключением информации и документов, которые запрошены у участника отбора Министерством.</w:t>
      </w:r>
    </w:p>
    <w:p>
      <w:pPr>
        <w:pStyle w:val="0"/>
        <w:spacing w:before="200" w:lineRule="auto"/>
        <w:ind w:firstLine="540"/>
        <w:jc w:val="both"/>
      </w:pPr>
      <w:r>
        <w:rPr>
          <w:sz w:val="20"/>
        </w:rPr>
        <w:t xml:space="preserve">Министерство не вправе требовать от участника отбора представления документов и информации в целях подтверждения соответствия участника отбора требованиям, установленным </w:t>
      </w:r>
      <w:hyperlink w:history="0" w:anchor="P78" w:tooltip="2.6. Требования, которым должны соответствовать участники отбора на даты рассмотрения заявок и заключения соглашений:">
        <w:r>
          <w:rPr>
            <w:sz w:val="20"/>
            <w:color w:val="0000ff"/>
          </w:rPr>
          <w:t xml:space="preserve">пунктом 2.6</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pPr>
        <w:pStyle w:val="0"/>
        <w:spacing w:before="200" w:lineRule="auto"/>
        <w:ind w:firstLine="540"/>
        <w:jc w:val="both"/>
      </w:pPr>
      <w:r>
        <w:rPr>
          <w:sz w:val="20"/>
        </w:rPr>
        <w:t xml:space="preserve">2.10. Участник отбора вправе изменить поданную им заявку в любое время до даты окончания приема заявок.</w:t>
      </w:r>
    </w:p>
    <w:p>
      <w:pPr>
        <w:pStyle w:val="0"/>
        <w:spacing w:before="200" w:lineRule="auto"/>
        <w:ind w:firstLine="540"/>
        <w:jc w:val="both"/>
      </w:pPr>
      <w:r>
        <w:rPr>
          <w:sz w:val="20"/>
        </w:rPr>
        <w:t xml:space="preserve">Изменения вносятся в заявку в соответствии с требованиями к оформлению заявок, указанными в </w:t>
      </w:r>
      <w:hyperlink w:history="0" w:anchor="P206" w:tooltip="2.9. Обеспечение доступа участников отбора к системе &quot;Электронный бюджет&quot; осуществляется с использованием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w:r>
          <w:rPr>
            <w:sz w:val="20"/>
            <w:color w:val="0000ff"/>
          </w:rPr>
          <w:t xml:space="preserve">пункте 2.9</w:t>
        </w:r>
      </w:hyperlink>
      <w:r>
        <w:rPr>
          <w:sz w:val="20"/>
        </w:rPr>
        <w:t xml:space="preserve"> настоящего Порядка, и направляются в Министерство в системе "Электронный бюджет".</w:t>
      </w:r>
    </w:p>
    <w:p>
      <w:pPr>
        <w:pStyle w:val="0"/>
        <w:spacing w:before="200" w:lineRule="auto"/>
        <w:ind w:firstLine="540"/>
        <w:jc w:val="both"/>
      </w:pPr>
      <w:r>
        <w:rPr>
          <w:sz w:val="20"/>
        </w:rPr>
        <w:t xml:space="preserve">Изменения в заявку, поступившие в Министерство после даты окончания приема заявок, не учитываются.</w:t>
      </w:r>
    </w:p>
    <w:bookmarkStart w:id="217" w:name="P217"/>
    <w:bookmarkEnd w:id="217"/>
    <w:p>
      <w:pPr>
        <w:pStyle w:val="0"/>
        <w:spacing w:before="200" w:lineRule="auto"/>
        <w:ind w:firstLine="540"/>
        <w:jc w:val="both"/>
      </w:pPr>
      <w:r>
        <w:rPr>
          <w:sz w:val="20"/>
        </w:rPr>
        <w:t xml:space="preserve">2.11. Участник отбора вправе отозвать заявку на доработку не позднее даты окончания приема заявок, направив соответствующее обращение в Министерство.</w:t>
      </w:r>
    </w:p>
    <w:p>
      <w:pPr>
        <w:pStyle w:val="0"/>
        <w:spacing w:before="200" w:lineRule="auto"/>
        <w:ind w:firstLine="540"/>
        <w:jc w:val="both"/>
      </w:pPr>
      <w:r>
        <w:rPr>
          <w:sz w:val="20"/>
        </w:rPr>
        <w:t xml:space="preserve">Доработанные заявки возвращаются Министерством в течение 2 рабочих дней со дня поступления соответствующего обращения участника отбора в Министерство.</w:t>
      </w:r>
    </w:p>
    <w:p>
      <w:pPr>
        <w:pStyle w:val="0"/>
        <w:spacing w:before="200" w:lineRule="auto"/>
        <w:ind w:firstLine="540"/>
        <w:jc w:val="both"/>
      </w:pPr>
      <w:r>
        <w:rPr>
          <w:sz w:val="20"/>
        </w:rPr>
        <w:t xml:space="preserve">2.12. Участник отбора вправе отозвать заявку в любое время до начала ее рассмотрения Министерством путем направления уведомления об отзыве заявки в системе "Электронный бюджет".</w:t>
      </w:r>
    </w:p>
    <w:bookmarkStart w:id="220" w:name="P220"/>
    <w:bookmarkEnd w:id="220"/>
    <w:p>
      <w:pPr>
        <w:pStyle w:val="0"/>
        <w:spacing w:before="200" w:lineRule="auto"/>
        <w:ind w:firstLine="540"/>
        <w:jc w:val="both"/>
      </w:pPr>
      <w:r>
        <w:rPr>
          <w:sz w:val="20"/>
        </w:rPr>
        <w:t xml:space="preserve">2.13. Заявка отклоняется Министерством в случае наличия одного или нескольких оснований для отклонения заявки участника отбора:</w:t>
      </w:r>
    </w:p>
    <w:p>
      <w:pPr>
        <w:pStyle w:val="0"/>
        <w:spacing w:before="200" w:lineRule="auto"/>
        <w:ind w:firstLine="540"/>
        <w:jc w:val="both"/>
      </w:pPr>
      <w:r>
        <w:rPr>
          <w:sz w:val="20"/>
        </w:rPr>
        <w:t xml:space="preserve">- несоответствие участника отбора требованиям, указанным в </w:t>
      </w:r>
      <w:hyperlink w:history="0" w:anchor="P49" w:tooltip="2.1. Право на получение грантов имеют юридические лица (за исключением некоммерческих организаций, являющихся государственными (муниципальными) учреждениями) и индивидуальные предприниматели, поставленные на учет в налоговых органах Воронежской области, осуществляющие деятельность на территории Воронежской области, прошедшие отбор в соответствии с настоящим Порядком (далее - участники отбора, получатели грантов).">
        <w:r>
          <w:rPr>
            <w:sz w:val="20"/>
            <w:color w:val="0000ff"/>
          </w:rPr>
          <w:t xml:space="preserve">пунктах 2.1</w:t>
        </w:r>
      </w:hyperlink>
      <w:r>
        <w:rPr>
          <w:sz w:val="20"/>
        </w:rPr>
        <w:t xml:space="preserve"> и </w:t>
      </w:r>
      <w:hyperlink w:history="0" w:anchor="P78" w:tooltip="2.6. Требования, которым должны соответствовать участники отбора на даты рассмотрения заявок и заключения соглашений:">
        <w:r>
          <w:rPr>
            <w:sz w:val="20"/>
            <w:color w:val="0000ff"/>
          </w:rPr>
          <w:t xml:space="preserve">2.6</w:t>
        </w:r>
      </w:hyperlink>
      <w:r>
        <w:rPr>
          <w:sz w:val="20"/>
        </w:rPr>
        <w:t xml:space="preserve"> настоящего Порядка;</w:t>
      </w:r>
    </w:p>
    <w:p>
      <w:pPr>
        <w:pStyle w:val="0"/>
        <w:spacing w:before="200" w:lineRule="auto"/>
        <w:ind w:firstLine="540"/>
        <w:jc w:val="both"/>
      </w:pPr>
      <w:r>
        <w:rPr>
          <w:sz w:val="20"/>
        </w:rPr>
        <w:t xml:space="preserve">- непредставление (представление не в полном объеме) участником отбора документов, указанных в </w:t>
      </w:r>
      <w:hyperlink w:history="0" w:anchor="P88" w:tooltip="2.7. Для подтверждения соответствия требованиям, установленным пунктом 2.6 настоящего Порядка, и получения гранта участник отбора в срок, установленный Министерством в объявлении о проведении отбора, представляет в Министерство с использованием системы &quot;Электронный бюджет&quot; в соответствии с требованиями, установленными пунктом 2.9 настоящего Порядка, заявку и следующие документы:">
        <w:r>
          <w:rPr>
            <w:sz w:val="20"/>
            <w:color w:val="0000ff"/>
          </w:rPr>
          <w:t xml:space="preserve">пункте 2.7</w:t>
        </w:r>
      </w:hyperlink>
      <w:r>
        <w:rPr>
          <w:sz w:val="20"/>
        </w:rPr>
        <w:t xml:space="preserve"> настоящего Порядка, или представление недостоверных сведений и документов;</w:t>
      </w:r>
    </w:p>
    <w:p>
      <w:pPr>
        <w:pStyle w:val="0"/>
        <w:spacing w:before="200" w:lineRule="auto"/>
        <w:ind w:firstLine="540"/>
        <w:jc w:val="both"/>
      </w:pPr>
      <w:r>
        <w:rPr>
          <w:sz w:val="20"/>
        </w:rPr>
        <w:t xml:space="preserve">- несоответствие представленных участником отбора заявки и документов требованиям, установленным в объявлении о проведении отбора;</w:t>
      </w:r>
    </w:p>
    <w:p>
      <w:pPr>
        <w:pStyle w:val="0"/>
        <w:spacing w:before="200" w:lineRule="auto"/>
        <w:ind w:firstLine="540"/>
        <w:jc w:val="both"/>
      </w:pPr>
      <w:r>
        <w:rPr>
          <w:sz w:val="20"/>
        </w:rPr>
        <w:t xml:space="preserve">- недостоверность информации, содержащейся в документах, представленных участником отбора в целях подтверждения соответствия требованиям, указанным в </w:t>
      </w:r>
      <w:hyperlink w:history="0" w:anchor="P88" w:tooltip="2.7. Для подтверждения соответствия требованиям, установленным пунктом 2.6 настоящего Порядка, и получения гранта участник отбора в срок, установленный Министерством в объявлении о проведении отбора, представляет в Министерство с использованием системы &quot;Электронный бюджет&quot; в соответствии с требованиями, установленными пунктом 2.9 настоящего Порядка, заявку и следующие документы:">
        <w:r>
          <w:rPr>
            <w:sz w:val="20"/>
            <w:color w:val="0000ff"/>
          </w:rPr>
          <w:t xml:space="preserve">пункте 2.7</w:t>
        </w:r>
      </w:hyperlink>
      <w:r>
        <w:rPr>
          <w:sz w:val="20"/>
        </w:rPr>
        <w:t xml:space="preserve"> настоящего Порядка;</w:t>
      </w:r>
    </w:p>
    <w:p>
      <w:pPr>
        <w:pStyle w:val="0"/>
        <w:spacing w:before="200" w:lineRule="auto"/>
        <w:ind w:firstLine="540"/>
        <w:jc w:val="both"/>
      </w:pPr>
      <w:r>
        <w:rPr>
          <w:sz w:val="20"/>
        </w:rPr>
        <w:t xml:space="preserve">- отсутствие в реестре классифицированных средств размещения в нарушение требований </w:t>
      </w:r>
      <w:hyperlink w:history="0" r:id="rId24" w:tooltip="Федеральный закон от 24.11.1996 N 132-ФЗ (ред. от 23.07.2025) &quot;Об основах туристской деятельности в Российской Федерации&quot; (с изм. и доп., вступ. в силу с 14.12.2025) ------------ Недействующая редакция {КонсультантПлюс}">
        <w:r>
          <w:rPr>
            <w:sz w:val="20"/>
            <w:color w:val="0000ff"/>
          </w:rPr>
          <w:t xml:space="preserve">статьи 5.1</w:t>
        </w:r>
      </w:hyperlink>
      <w:r>
        <w:rPr>
          <w:sz w:val="20"/>
        </w:rPr>
        <w:t xml:space="preserve"> Федерального закона от 24.11.1996 N 132-ФЗ "Об основах туристской деятельности в Российской Федерации" средства размещения, владельцем (лицом, осуществляющим деятельность, связанную с использованием средства размещения для временного размещения и обеспечения временного проживания физических лиц) которого согласно паспорту проекта (общественной инициативы) является участник отбора;</w:t>
      </w:r>
    </w:p>
    <w:p>
      <w:pPr>
        <w:pStyle w:val="0"/>
        <w:spacing w:before="200" w:lineRule="auto"/>
        <w:ind w:firstLine="540"/>
        <w:jc w:val="both"/>
      </w:pPr>
      <w:r>
        <w:rPr>
          <w:sz w:val="20"/>
        </w:rPr>
        <w:t xml:space="preserve">- подача участником отбора заявки, в том числе заявки, доработанной в соответствии с </w:t>
      </w:r>
      <w:hyperlink w:history="0" w:anchor="P217" w:tooltip="2.11. Участник отбора вправе отозвать заявку на доработку не позднее даты окончания приема заявок, направив соответствующее обращение в Министерство.">
        <w:r>
          <w:rPr>
            <w:sz w:val="20"/>
            <w:color w:val="0000ff"/>
          </w:rPr>
          <w:t xml:space="preserve">пунктом 2.11</w:t>
        </w:r>
      </w:hyperlink>
      <w:r>
        <w:rPr>
          <w:sz w:val="20"/>
        </w:rPr>
        <w:t xml:space="preserve"> настоящего Порядка, после даты и (или) времени, определенных для подачи заявок.</w:t>
      </w:r>
    </w:p>
    <w:p>
      <w:pPr>
        <w:pStyle w:val="0"/>
        <w:spacing w:before="200" w:lineRule="auto"/>
        <w:ind w:firstLine="540"/>
        <w:jc w:val="both"/>
      </w:pPr>
      <w:r>
        <w:rPr>
          <w:sz w:val="20"/>
        </w:rPr>
        <w:t xml:space="preserve">2.14. В случае внесения изменений в закон Воронежской области об областном бюджете на соответствующий финансовый год и на плановый период в части исключения бюджетных ассигнований на предоставление грантов Министерство в течение 5 рабочих дней отменяет проведение отбора.</w:t>
      </w:r>
    </w:p>
    <w:p>
      <w:pPr>
        <w:pStyle w:val="0"/>
        <w:spacing w:before="200" w:lineRule="auto"/>
        <w:ind w:firstLine="540"/>
        <w:jc w:val="both"/>
      </w:pPr>
      <w:r>
        <w:rPr>
          <w:sz w:val="20"/>
        </w:rPr>
        <w:t xml:space="preserve">Министерством формируется объявление об отмене проведения отбора, которое размещается тем же способом, каким размещается объявление о проведении отбора.</w:t>
      </w:r>
    </w:p>
    <w:p>
      <w:pPr>
        <w:pStyle w:val="0"/>
        <w:spacing w:before="200" w:lineRule="auto"/>
        <w:ind w:firstLine="540"/>
        <w:jc w:val="both"/>
      </w:pPr>
      <w:r>
        <w:rPr>
          <w:sz w:val="20"/>
        </w:rPr>
        <w:t xml:space="preserve">В случае отсутствия заявок отбор признается несостоявшимся.</w:t>
      </w:r>
    </w:p>
    <w:bookmarkStart w:id="230" w:name="P230"/>
    <w:bookmarkEnd w:id="230"/>
    <w:p>
      <w:pPr>
        <w:pStyle w:val="0"/>
        <w:spacing w:before="200" w:lineRule="auto"/>
        <w:ind w:firstLine="540"/>
        <w:jc w:val="both"/>
      </w:pPr>
      <w:r>
        <w:rPr>
          <w:sz w:val="20"/>
        </w:rPr>
        <w:t xml:space="preserve">2.15. Проверка Министерством участника отбора на соответствие требованиям, установленным </w:t>
      </w:r>
      <w:hyperlink w:history="0" w:anchor="P78" w:tooltip="2.6. Требования, которым должны соответствовать участники отбора на даты рассмотрения заявок и заключения соглашений:">
        <w:r>
          <w:rPr>
            <w:sz w:val="20"/>
            <w:color w:val="0000ff"/>
          </w:rPr>
          <w:t xml:space="preserve">пунктом 2.6</w:t>
        </w:r>
      </w:hyperlink>
      <w:r>
        <w:rPr>
          <w:sz w:val="20"/>
        </w:rP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0"/>
        <w:spacing w:before="200" w:lineRule="auto"/>
        <w:ind w:firstLine="540"/>
        <w:jc w:val="both"/>
      </w:pPr>
      <w:r>
        <w:rPr>
          <w:sz w:val="20"/>
        </w:rPr>
        <w:t xml:space="preserve">Подтверждение соответствия участника отбора требованиям, установленным </w:t>
      </w:r>
      <w:hyperlink w:history="0" w:anchor="P78" w:tooltip="2.6. Требования, которым должны соответствовать участники отбора на даты рассмотрения заявок и заключения соглашений:">
        <w:r>
          <w:rPr>
            <w:sz w:val="20"/>
            <w:color w:val="0000ff"/>
          </w:rPr>
          <w:t xml:space="preserve">пунктом 2.6</w:t>
        </w:r>
      </w:hyperlink>
      <w:r>
        <w:rPr>
          <w:sz w:val="20"/>
        </w:rPr>
        <w:t xml:space="preserve"> настоящего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Министерству и комиссии открывается доступ в системе "Электронный бюджет" к заявкам для их рассмотрения и оценки.</w:t>
      </w:r>
    </w:p>
    <w:p>
      <w:pPr>
        <w:pStyle w:val="0"/>
        <w:spacing w:before="200" w:lineRule="auto"/>
        <w:ind w:firstLine="540"/>
        <w:jc w:val="both"/>
      </w:pPr>
      <w:r>
        <w:rPr>
          <w:sz w:val="20"/>
        </w:rPr>
        <w:t xml:space="preserve">Комиссия рассматривает представленные документы на предмет их соответствия требованиям, установленным в объявлении о проведении отбора, в том числе осуществляет проверку участника отбора на соответствие требованиям, установленным </w:t>
      </w:r>
      <w:hyperlink w:history="0" w:anchor="P78" w:tooltip="2.6. Требования, которым должны соответствовать участники отбора на даты рассмотрения заявок и заключения соглашений:">
        <w:r>
          <w:rPr>
            <w:sz w:val="20"/>
            <w:color w:val="0000ff"/>
          </w:rPr>
          <w:t xml:space="preserve">пунктом 2.6</w:t>
        </w:r>
      </w:hyperlink>
      <w:r>
        <w:rPr>
          <w:sz w:val="20"/>
        </w:rPr>
        <w:t xml:space="preserve"> настоящего Порядка, в срок, не превышающий 10 рабочих дней после окончания срока приема заявок, принимает решение о приеме заявки или отклонении заявки.</w:t>
      </w:r>
    </w:p>
    <w:p>
      <w:pPr>
        <w:pStyle w:val="0"/>
        <w:spacing w:before="200" w:lineRule="auto"/>
        <w:ind w:firstLine="540"/>
        <w:jc w:val="both"/>
      </w:pPr>
      <w:r>
        <w:rPr>
          <w:sz w:val="20"/>
        </w:rPr>
        <w:t xml:space="preserve">Протокол вскрытия заявок автоматически формируется на едином портале, подписывается усиленной квалифицированной электронной подписью председателя комиссии в системе "Электронный бюджет", а также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2.16. Основаниями для отказа получателю гранта в предоставлении гранта являются:</w:t>
      </w:r>
    </w:p>
    <w:p>
      <w:pPr>
        <w:pStyle w:val="0"/>
        <w:spacing w:before="200" w:lineRule="auto"/>
        <w:ind w:firstLine="540"/>
        <w:jc w:val="both"/>
      </w:pPr>
      <w:r>
        <w:rPr>
          <w:sz w:val="20"/>
        </w:rPr>
        <w:t xml:space="preserve">- несоответствие представленных получателем гранта документов требованиям, определенным настоящим Порядком,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 установление факта недостоверности представленной получателем гранта информации;</w:t>
      </w:r>
    </w:p>
    <w:p>
      <w:pPr>
        <w:pStyle w:val="0"/>
        <w:spacing w:before="200" w:lineRule="auto"/>
        <w:ind w:firstLine="540"/>
        <w:jc w:val="both"/>
      </w:pPr>
      <w:r>
        <w:rPr>
          <w:sz w:val="20"/>
        </w:rPr>
        <w:t xml:space="preserve">- невыполнение условий предоставления гранта, установленных </w:t>
      </w:r>
      <w:hyperlink w:history="0" w:anchor="P269" w:tooltip="3.1. Грант предоставляется в целях финансового обеспечения затрат на мероприятия, связанные с реализацией общественных инициатив и проектов, направленных на развитие туристской инфраструктуры, по следующим направлениям расходов:">
        <w:r>
          <w:rPr>
            <w:sz w:val="20"/>
            <w:color w:val="0000ff"/>
          </w:rPr>
          <w:t xml:space="preserve">пунктами 3.1</w:t>
        </w:r>
      </w:hyperlink>
      <w:r>
        <w:rPr>
          <w:sz w:val="20"/>
        </w:rPr>
        <w:t xml:space="preserve">, </w:t>
      </w:r>
      <w:hyperlink w:history="0" w:anchor="P283" w:tooltip="3.2. Максимальный размер одного гранта составляет 10000000 (десять миллионов) рублей на одного получателя гранта.">
        <w:r>
          <w:rPr>
            <w:sz w:val="20"/>
            <w:color w:val="0000ff"/>
          </w:rPr>
          <w:t xml:space="preserve">3.2</w:t>
        </w:r>
      </w:hyperlink>
      <w:r>
        <w:rPr>
          <w:sz w:val="20"/>
        </w:rPr>
        <w:t xml:space="preserve">, </w:t>
      </w:r>
      <w:hyperlink w:history="0" w:anchor="P296" w:tooltip="3.5. Грант предоставляется при одновременном соблюдении следующих условий:">
        <w:r>
          <w:rPr>
            <w:sz w:val="20"/>
            <w:color w:val="0000ff"/>
          </w:rPr>
          <w:t xml:space="preserve">3.5</w:t>
        </w:r>
      </w:hyperlink>
      <w:r>
        <w:rPr>
          <w:sz w:val="20"/>
        </w:rPr>
        <w:t xml:space="preserve">, </w:t>
      </w:r>
      <w:hyperlink w:history="0" w:anchor="P299" w:tooltip="3.6. Заключение соглашения осуществляется при условии соответствия победителя отбора требованиям, указанным в пункте 2.6 настоящего Порядка.">
        <w:r>
          <w:rPr>
            <w:sz w:val="20"/>
            <w:color w:val="0000ff"/>
          </w:rPr>
          <w:t xml:space="preserve">3.6</w:t>
        </w:r>
      </w:hyperlink>
      <w:r>
        <w:rPr>
          <w:sz w:val="20"/>
        </w:rPr>
        <w:t xml:space="preserve"> настоящего Порядка;</w:t>
      </w:r>
    </w:p>
    <w:p>
      <w:pPr>
        <w:pStyle w:val="0"/>
        <w:spacing w:before="200" w:lineRule="auto"/>
        <w:ind w:firstLine="540"/>
        <w:jc w:val="both"/>
      </w:pPr>
      <w:r>
        <w:rPr>
          <w:sz w:val="20"/>
        </w:rPr>
        <w:t xml:space="preserve">- несоответствие получателя гранта требованиям, установленным </w:t>
      </w:r>
      <w:hyperlink w:history="0" w:anchor="P49" w:tooltip="2.1. Право на получение грантов имеют юридические лица (за исключением некоммерческих организаций, являющихся государственными (муниципальными) учреждениями) и индивидуальные предприниматели, поставленные на учет в налоговых органах Воронежской области, осуществляющие деятельность на территории Воронежской области, прошедшие отбор в соответствии с настоящим Порядком (далее - участники отбора, получатели грантов).">
        <w:r>
          <w:rPr>
            <w:sz w:val="20"/>
            <w:color w:val="0000ff"/>
          </w:rPr>
          <w:t xml:space="preserve">пунктами 2.1</w:t>
        </w:r>
      </w:hyperlink>
      <w:r>
        <w:rPr>
          <w:sz w:val="20"/>
        </w:rPr>
        <w:t xml:space="preserve"> и </w:t>
      </w:r>
      <w:hyperlink w:history="0" w:anchor="P78" w:tooltip="2.6. Требования, которым должны соответствовать участники отбора на даты рассмотрения заявок и заключения соглашений:">
        <w:r>
          <w:rPr>
            <w:sz w:val="20"/>
            <w:color w:val="0000ff"/>
          </w:rPr>
          <w:t xml:space="preserve">2.6</w:t>
        </w:r>
      </w:hyperlink>
      <w:r>
        <w:rPr>
          <w:sz w:val="20"/>
        </w:rPr>
        <w:t xml:space="preserve"> настоящего Порядка;</w:t>
      </w:r>
    </w:p>
    <w:p>
      <w:pPr>
        <w:pStyle w:val="0"/>
        <w:spacing w:before="200" w:lineRule="auto"/>
        <w:ind w:firstLine="540"/>
        <w:jc w:val="both"/>
      </w:pPr>
      <w:r>
        <w:rPr>
          <w:sz w:val="20"/>
        </w:rPr>
        <w:t xml:space="preserve">- отсутствие лимитов бюджетных обязательств на предоставление гранта;</w:t>
      </w:r>
    </w:p>
    <w:p>
      <w:pPr>
        <w:pStyle w:val="0"/>
        <w:spacing w:before="200" w:lineRule="auto"/>
        <w:ind w:firstLine="540"/>
        <w:jc w:val="both"/>
      </w:pPr>
      <w:r>
        <w:rPr>
          <w:sz w:val="20"/>
        </w:rPr>
        <w:t xml:space="preserve">- отказ получателя гранта от заключения соглашения;</w:t>
      </w:r>
    </w:p>
    <w:p>
      <w:pPr>
        <w:pStyle w:val="0"/>
        <w:spacing w:before="200" w:lineRule="auto"/>
        <w:ind w:firstLine="540"/>
        <w:jc w:val="both"/>
      </w:pPr>
      <w:r>
        <w:rPr>
          <w:sz w:val="20"/>
        </w:rPr>
        <w:t xml:space="preserve">- уклонение получателя гранта от заключения соглашения в сроки, установленные </w:t>
      </w:r>
      <w:hyperlink w:history="0" w:anchor="P300" w:tooltip="3.7. Формирование и размещение Министерством в системе &quot;Электронный бюджет&quot; соглашения осуществляется в течение 5 рабочих дней с даты принятия Министерством решения о предоставлении грантов.">
        <w:r>
          <w:rPr>
            <w:sz w:val="20"/>
            <w:color w:val="0000ff"/>
          </w:rPr>
          <w:t xml:space="preserve">пунктом 3.7</w:t>
        </w:r>
      </w:hyperlink>
      <w:r>
        <w:rPr>
          <w:sz w:val="20"/>
        </w:rPr>
        <w:t xml:space="preserve"> настоящего Порядка.</w:t>
      </w:r>
    </w:p>
    <w:p>
      <w:pPr>
        <w:pStyle w:val="0"/>
        <w:spacing w:before="200" w:lineRule="auto"/>
        <w:ind w:firstLine="540"/>
        <w:jc w:val="both"/>
      </w:pPr>
      <w:r>
        <w:rPr>
          <w:sz w:val="20"/>
        </w:rPr>
        <w:t xml:space="preserve">2.17. С целью рассмотрения и оценки представленных участниками отбора заявок, в том числе проектов (общественных инициатив), направленных на развитие туристской инфраструктуры, создается комиссия, состав которой утверждается приказом Министерства.</w:t>
      </w:r>
    </w:p>
    <w:p>
      <w:pPr>
        <w:pStyle w:val="0"/>
        <w:spacing w:before="200" w:lineRule="auto"/>
        <w:ind w:firstLine="540"/>
        <w:jc w:val="both"/>
      </w:pPr>
      <w:r>
        <w:rPr>
          <w:sz w:val="20"/>
        </w:rPr>
        <w:t xml:space="preserve">Число членов комиссии должно быть нечетным и составлять не менее 7 человек.</w:t>
      </w:r>
    </w:p>
    <w:p>
      <w:pPr>
        <w:pStyle w:val="0"/>
        <w:spacing w:before="200" w:lineRule="auto"/>
        <w:ind w:firstLine="540"/>
        <w:jc w:val="both"/>
      </w:pPr>
      <w:r>
        <w:rPr>
          <w:sz w:val="20"/>
        </w:rPr>
        <w:t xml:space="preserve">Членами комиссии могут быть представители исполнительных органов Воронежской области, органов местного самоуправления муниципальных образований Воронежской области, некоммерческих организаций, осуществляющих деятельность в сфере туризма.</w:t>
      </w:r>
    </w:p>
    <w:p>
      <w:pPr>
        <w:pStyle w:val="0"/>
        <w:spacing w:before="200" w:lineRule="auto"/>
        <w:ind w:firstLine="540"/>
        <w:jc w:val="both"/>
      </w:pPr>
      <w:r>
        <w:rPr>
          <w:sz w:val="20"/>
        </w:rPr>
        <w:t xml:space="preserve">Комиссии обеспечивается доступ к системе "Электронный бюджет".</w:t>
      </w:r>
    </w:p>
    <w:p>
      <w:pPr>
        <w:pStyle w:val="0"/>
        <w:spacing w:before="200" w:lineRule="auto"/>
        <w:ind w:firstLine="540"/>
        <w:jc w:val="both"/>
      </w:pPr>
      <w:r>
        <w:rPr>
          <w:sz w:val="20"/>
        </w:rPr>
        <w:t xml:space="preserve">Работа комиссии осуществляется в форме заседаний. Заседание комиссии считается правомочным, если на нем присутствует не менее двух третей ее состава.</w:t>
      </w:r>
    </w:p>
    <w:p>
      <w:pPr>
        <w:pStyle w:val="0"/>
        <w:spacing w:before="200" w:lineRule="auto"/>
        <w:ind w:firstLine="540"/>
        <w:jc w:val="both"/>
      </w:pPr>
      <w:r>
        <w:rPr>
          <w:sz w:val="20"/>
        </w:rPr>
        <w:t xml:space="preserve">2.18. Результатом рассмотрения заявок является протокол с указанием допущенных к участию в отборе участников, а также участников отбора, заявки которых были отклонены, с указанием причин отклонения, в том числе положений объявления о проведении отбора, которым не соответствуют такие заявки.</w:t>
      </w:r>
    </w:p>
    <w:p>
      <w:pPr>
        <w:pStyle w:val="0"/>
        <w:spacing w:before="200" w:lineRule="auto"/>
        <w:ind w:firstLine="540"/>
        <w:jc w:val="both"/>
      </w:pPr>
      <w:r>
        <w:rPr>
          <w:sz w:val="20"/>
        </w:rPr>
        <w:t xml:space="preserve">При отсутствии оснований для отклонения заявки, указанных в </w:t>
      </w:r>
      <w:hyperlink w:history="0" w:anchor="P220" w:tooltip="2.13. Заявка отклоняется Министерством в случае наличия одного или нескольких оснований для отклонения заявки участника отбора:">
        <w:r>
          <w:rPr>
            <w:sz w:val="20"/>
            <w:color w:val="0000ff"/>
          </w:rPr>
          <w:t xml:space="preserve">пункте 2.13</w:t>
        </w:r>
      </w:hyperlink>
      <w:r>
        <w:rPr>
          <w:sz w:val="20"/>
        </w:rPr>
        <w:t xml:space="preserve"> настоящего Порядка, подавший ее участник отбора считается допущенным к оценке заявок.</w:t>
      </w:r>
    </w:p>
    <w:bookmarkStart w:id="250" w:name="P250"/>
    <w:bookmarkEnd w:id="250"/>
    <w:p>
      <w:pPr>
        <w:pStyle w:val="0"/>
        <w:spacing w:before="200" w:lineRule="auto"/>
        <w:ind w:firstLine="540"/>
        <w:jc w:val="both"/>
      </w:pPr>
      <w:r>
        <w:rPr>
          <w:sz w:val="20"/>
        </w:rPr>
        <w:t xml:space="preserve">2.19. Протокол рассмотрения заявок автоматически формируется на едином портале, подписывается усиленной квалифицированной электронной подписью председателя комиссии в системе "Электронный бюджет", а также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2.20. Члены комиссии осуществляют оценку заявок в течение 20 рабочих дней с даты окончания приема заявок посредством выставления баллов по каждому критерию, указанному в </w:t>
      </w:r>
      <w:hyperlink w:history="0" w:anchor="P96" w:tooltip="2.8. Отбор участников осуществляется в соответствии со следующими критериями оценки заявок:">
        <w:r>
          <w:rPr>
            <w:sz w:val="20"/>
            <w:color w:val="0000ff"/>
          </w:rPr>
          <w:t xml:space="preserve">пункте 2.8</w:t>
        </w:r>
      </w:hyperlink>
      <w:r>
        <w:rPr>
          <w:sz w:val="20"/>
        </w:rPr>
        <w:t xml:space="preserve"> настоящего Порядка.</w:t>
      </w:r>
    </w:p>
    <w:p>
      <w:pPr>
        <w:pStyle w:val="0"/>
        <w:spacing w:before="200" w:lineRule="auto"/>
        <w:ind w:firstLine="540"/>
        <w:jc w:val="both"/>
      </w:pPr>
      <w:r>
        <w:rPr>
          <w:sz w:val="20"/>
        </w:rPr>
        <w:t xml:space="preserve">Ранжирование поступивших заявок осуществляется комиссией по мере уменьшения полученных баллов по итогам оценки заявок и очередности поступления заявок в случае равенства количества полученных заявками баллов.</w:t>
      </w:r>
    </w:p>
    <w:p>
      <w:pPr>
        <w:pStyle w:val="0"/>
        <w:spacing w:before="200" w:lineRule="auto"/>
        <w:ind w:firstLine="540"/>
        <w:jc w:val="both"/>
      </w:pPr>
      <w:r>
        <w:rPr>
          <w:sz w:val="20"/>
        </w:rPr>
        <w:t xml:space="preserve">При равной итоговой сумме баллов, выставленных заявкам членами комиссии, право на получение гранта имеет участник конкурса, заявка которого была подана в более ранний срок.</w:t>
      </w:r>
    </w:p>
    <w:bookmarkStart w:id="254" w:name="P254"/>
    <w:bookmarkEnd w:id="254"/>
    <w:p>
      <w:pPr>
        <w:pStyle w:val="0"/>
        <w:spacing w:before="200" w:lineRule="auto"/>
        <w:ind w:firstLine="540"/>
        <w:jc w:val="both"/>
      </w:pPr>
      <w:r>
        <w:rPr>
          <w:sz w:val="20"/>
        </w:rPr>
        <w:t xml:space="preserve">2.21. Решение комиссии оформляется протоколом подведения итогов отбора посредством его автоматического формирования на едином портале.</w:t>
      </w:r>
    </w:p>
    <w:p>
      <w:pPr>
        <w:pStyle w:val="0"/>
        <w:spacing w:before="200" w:lineRule="auto"/>
        <w:ind w:firstLine="540"/>
        <w:jc w:val="both"/>
      </w:pPr>
      <w:r>
        <w:rPr>
          <w:sz w:val="20"/>
        </w:rPr>
        <w:t xml:space="preserve">Протокол подведения итогов отбора подписывается усиленной квалифицированной электронной подписью председателя комиссии в системе "Электронный бюджет" и размещается на едином портале не позднее 1-го рабочего дня, следующего за днем его подписания, а также на странице Министерства в информационной системе "Портал Воронежской области в сети Интернет".</w:t>
      </w:r>
    </w:p>
    <w:p>
      <w:pPr>
        <w:pStyle w:val="0"/>
        <w:spacing w:before="200" w:lineRule="auto"/>
        <w:ind w:firstLine="540"/>
        <w:jc w:val="both"/>
      </w:pPr>
      <w:r>
        <w:rPr>
          <w:sz w:val="20"/>
        </w:rPr>
        <w:t xml:space="preserve">Протокол подведения итогов отбора должен включать следующие сведения:</w:t>
      </w:r>
    </w:p>
    <w:p>
      <w:pPr>
        <w:pStyle w:val="0"/>
        <w:spacing w:before="200" w:lineRule="auto"/>
        <w:ind w:firstLine="540"/>
        <w:jc w:val="both"/>
      </w:pPr>
      <w:r>
        <w:rPr>
          <w:sz w:val="20"/>
        </w:rPr>
        <w:t xml:space="preserve">- дата, время и место проведения рассмотрения заявок;</w:t>
      </w:r>
    </w:p>
    <w:p>
      <w:pPr>
        <w:pStyle w:val="0"/>
        <w:spacing w:before="200" w:lineRule="auto"/>
        <w:ind w:firstLine="540"/>
        <w:jc w:val="both"/>
      </w:pPr>
      <w:r>
        <w:rPr>
          <w:sz w:val="20"/>
        </w:rPr>
        <w:t xml:space="preserve">- дата, время и место оценки заявок;</w:t>
      </w:r>
    </w:p>
    <w:p>
      <w:pPr>
        <w:pStyle w:val="0"/>
        <w:spacing w:before="200" w:lineRule="auto"/>
        <w:ind w:firstLine="540"/>
        <w:jc w:val="both"/>
      </w:pPr>
      <w:r>
        <w:rPr>
          <w:sz w:val="20"/>
        </w:rPr>
        <w:t xml:space="preserve">- информация об участниках отбора, заявки которых были рассмотрены;</w:t>
      </w:r>
    </w:p>
    <w:p>
      <w:pPr>
        <w:pStyle w:val="0"/>
        <w:spacing w:before="200" w:lineRule="auto"/>
        <w:ind w:firstLine="540"/>
        <w:jc w:val="both"/>
      </w:pPr>
      <w:r>
        <w:rPr>
          <w:sz w:val="20"/>
        </w:rPr>
        <w:t xml:space="preserve">-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00" w:lineRule="auto"/>
        <w:ind w:firstLine="540"/>
        <w:jc w:val="both"/>
      </w:pPr>
      <w:r>
        <w:rPr>
          <w:sz w:val="20"/>
        </w:rPr>
        <w:t xml:space="preserve">- 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 наименование получателя (получателей) гранта (грантов), с которым (которыми) заключается соглашение, и размер предоставляемого ему гранта.</w:t>
      </w:r>
    </w:p>
    <w:p>
      <w:pPr>
        <w:pStyle w:val="0"/>
        <w:spacing w:before="200" w:lineRule="auto"/>
        <w:ind w:firstLine="540"/>
        <w:jc w:val="both"/>
      </w:pPr>
      <w:r>
        <w:rPr>
          <w:sz w:val="20"/>
        </w:rPr>
        <w:t xml:space="preserve">2.22. На основании протокола подведения итогов в течение 5 рабочих дней с даты размещения данного протокола Министерство принимает решения о предоставлении грантов и (или) об отказе в предоставлении грантов.</w:t>
      </w:r>
    </w:p>
    <w:p>
      <w:pPr>
        <w:pStyle w:val="0"/>
        <w:spacing w:before="200" w:lineRule="auto"/>
        <w:ind w:firstLine="540"/>
        <w:jc w:val="both"/>
      </w:pPr>
      <w:r>
        <w:rPr>
          <w:sz w:val="20"/>
        </w:rPr>
        <w:t xml:space="preserve">Решения, указанные в абзаце первом настоящего пункта, принимаются в форме приказа Министерства.</w:t>
      </w:r>
    </w:p>
    <w:p>
      <w:pPr>
        <w:pStyle w:val="0"/>
        <w:spacing w:before="200" w:lineRule="auto"/>
        <w:ind w:firstLine="540"/>
        <w:jc w:val="both"/>
      </w:pPr>
      <w:r>
        <w:rPr>
          <w:sz w:val="20"/>
        </w:rPr>
        <w:t xml:space="preserve">2.23. 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pPr>
        <w:pStyle w:val="0"/>
        <w:ind w:firstLine="540"/>
        <w:jc w:val="both"/>
      </w:pPr>
      <w:r>
        <w:rPr>
          <w:sz w:val="20"/>
        </w:rPr>
      </w:r>
    </w:p>
    <w:p>
      <w:pPr>
        <w:pStyle w:val="2"/>
        <w:outlineLvl w:val="1"/>
        <w:jc w:val="center"/>
      </w:pPr>
      <w:r>
        <w:rPr>
          <w:sz w:val="20"/>
        </w:rPr>
        <w:t xml:space="preserve">3. Условия и порядок предоставления грантов</w:t>
      </w:r>
    </w:p>
    <w:p>
      <w:pPr>
        <w:pStyle w:val="0"/>
        <w:ind w:firstLine="540"/>
        <w:jc w:val="both"/>
      </w:pPr>
      <w:r>
        <w:rPr>
          <w:sz w:val="20"/>
        </w:rPr>
      </w:r>
    </w:p>
    <w:bookmarkStart w:id="269" w:name="P269"/>
    <w:bookmarkEnd w:id="269"/>
    <w:p>
      <w:pPr>
        <w:pStyle w:val="0"/>
        <w:ind w:firstLine="540"/>
        <w:jc w:val="both"/>
      </w:pPr>
      <w:r>
        <w:rPr>
          <w:sz w:val="20"/>
        </w:rPr>
        <w:t xml:space="preserve">3.1. Грант предоставляется в целях финансового обеспечения затрат на мероприятия, связанные с реализацией общественных инициатив и проектов, направленных на развитие туристской инфраструктуры, по следующим направлениям расходов:</w:t>
      </w:r>
    </w:p>
    <w:p>
      <w:pPr>
        <w:pStyle w:val="0"/>
        <w:spacing w:before="200" w:lineRule="auto"/>
        <w:ind w:firstLine="540"/>
        <w:jc w:val="both"/>
      </w:pPr>
      <w:r>
        <w:rPr>
          <w:sz w:val="20"/>
        </w:rPr>
        <w:t xml:space="preserve">а) создание и (или) развитие пляжей на берегах рек, озер, водохранилищ или иных водных объектов:</w:t>
      </w:r>
    </w:p>
    <w:p>
      <w:pPr>
        <w:pStyle w:val="0"/>
        <w:spacing w:before="200" w:lineRule="auto"/>
        <w:ind w:firstLine="540"/>
        <w:jc w:val="both"/>
      </w:pPr>
      <w:r>
        <w:rPr>
          <w:sz w:val="20"/>
        </w:rPr>
        <w:t xml:space="preserve">- обустройство пляжа в соответствии с требованиями национального стандарта Российской Федерации ГОСТ Р 55698-2013 "Туристские услуги. Услуги пляжей. Общие требования", введенного в действие </w:t>
      </w:r>
      <w:hyperlink w:history="0" r:id="rId25" w:tooltip="Приказ Росстандарта от 08.11.2013 N 1345-ст &quot;Об утверждении национального стандарта&quot; {КонсультантПлюс}">
        <w:r>
          <w:rPr>
            <w:sz w:val="20"/>
            <w:color w:val="0000ff"/>
          </w:rPr>
          <w:t xml:space="preserve">Приказом</w:t>
        </w:r>
      </w:hyperlink>
      <w:r>
        <w:rPr>
          <w:sz w:val="20"/>
        </w:rPr>
        <w:t xml:space="preserve"> Росстандарта от 08.11.2013 N 1345-ст "Об утверждении национального стандарта", за исключением берегозащитных, противооползневых и других защитных мероприятий, а также мероприятий по очистке дна акватории;</w:t>
      </w:r>
    </w:p>
    <w:p>
      <w:pPr>
        <w:pStyle w:val="0"/>
        <w:spacing w:before="200" w:lineRule="auto"/>
        <w:ind w:firstLine="540"/>
        <w:jc w:val="both"/>
      </w:pPr>
      <w:r>
        <w:rPr>
          <w:sz w:val="20"/>
        </w:rPr>
        <w:t xml:space="preserve">- приобретение оборудования, в том числе снаряжения, инвентаря, экипировки, товаров для отдыха, предназначенного для обеспечения туристской деятельности и расширения доступности для лиц с ограниченными возможностями здоровья;</w:t>
      </w:r>
    </w:p>
    <w:p>
      <w:pPr>
        <w:pStyle w:val="0"/>
        <w:spacing w:before="200" w:lineRule="auto"/>
        <w:ind w:firstLine="540"/>
        <w:jc w:val="both"/>
      </w:pPr>
      <w:r>
        <w:rPr>
          <w:sz w:val="20"/>
        </w:rPr>
        <w:t xml:space="preserve">- обустройство детских и спортивных зон отдыха;</w:t>
      </w:r>
    </w:p>
    <w:p>
      <w:pPr>
        <w:pStyle w:val="0"/>
        <w:spacing w:before="200" w:lineRule="auto"/>
        <w:ind w:firstLine="540"/>
        <w:jc w:val="both"/>
      </w:pPr>
      <w:r>
        <w:rPr>
          <w:sz w:val="20"/>
        </w:rPr>
        <w:t xml:space="preserve">- создание или приобретение, установка некапитальных объектов общественного питания (за исключением фургонов или специализированных автомобильных прицепов, оборудованных для приготовления, хранения и продажи готовой еды);</w:t>
      </w:r>
    </w:p>
    <w:p>
      <w:pPr>
        <w:pStyle w:val="0"/>
        <w:spacing w:before="200" w:lineRule="auto"/>
        <w:ind w:firstLine="540"/>
        <w:jc w:val="both"/>
      </w:pPr>
      <w:r>
        <w:rPr>
          <w:sz w:val="20"/>
        </w:rPr>
        <w:t xml:space="preserve">б) развитие инфраструктуры туризма в рамках проектов юридических лиц и индивидуальных предпринимателей:</w:t>
      </w:r>
    </w:p>
    <w:p>
      <w:pPr>
        <w:pStyle w:val="0"/>
        <w:spacing w:before="200" w:lineRule="auto"/>
        <w:ind w:firstLine="540"/>
        <w:jc w:val="both"/>
      </w:pPr>
      <w:r>
        <w:rPr>
          <w:sz w:val="20"/>
        </w:rPr>
        <w:t xml:space="preserve">- разработка новых туристских маршрутов (включая маркировку, навигацию, обеспечение безопасности, организацию выделенных зон отдыха);</w:t>
      </w:r>
    </w:p>
    <w:p>
      <w:pPr>
        <w:pStyle w:val="0"/>
        <w:spacing w:before="200" w:lineRule="auto"/>
        <w:ind w:firstLine="540"/>
        <w:jc w:val="both"/>
      </w:pPr>
      <w:r>
        <w:rPr>
          <w:sz w:val="20"/>
        </w:rPr>
        <w:t xml:space="preserve">- приобретение туристского оборудования (не являющегося транспортным средством и его элементами), в том числе используемого в целях обеспечения эксплуатации и обустройства объектов туристской инфраструктуры и показа, туристских информационных центров, пунктов проката, детских и спортивных комплексов, комнат матери и ребенка и пунктов телемедицины;</w:t>
      </w:r>
    </w:p>
    <w:p>
      <w:pPr>
        <w:pStyle w:val="0"/>
        <w:spacing w:before="200" w:lineRule="auto"/>
        <w:ind w:firstLine="540"/>
        <w:jc w:val="both"/>
      </w:pPr>
      <w:r>
        <w:rPr>
          <w:sz w:val="20"/>
        </w:rPr>
        <w:t xml:space="preserve">- организация круглогодичного функционирования и расширение доступности плавательных бассейнов, в том числе приобретение систем подогрева, теплообменных устройств, а также приобретение мобильных погружных устройств для лиц с ограниченными возможностями здоровья;</w:t>
      </w:r>
    </w:p>
    <w:p>
      <w:pPr>
        <w:pStyle w:val="0"/>
        <w:spacing w:before="200" w:lineRule="auto"/>
        <w:ind w:firstLine="540"/>
        <w:jc w:val="both"/>
      </w:pPr>
      <w:r>
        <w:rPr>
          <w:sz w:val="20"/>
        </w:rPr>
        <w:t xml:space="preserve">- создание электронных путеводителей по туристским маршрутам, в том числе мобильных приложений и аудиогидов;</w:t>
      </w:r>
    </w:p>
    <w:p>
      <w:pPr>
        <w:pStyle w:val="0"/>
        <w:spacing w:before="200" w:lineRule="auto"/>
        <w:ind w:firstLine="540"/>
        <w:jc w:val="both"/>
      </w:pPr>
      <w:r>
        <w:rPr>
          <w:sz w:val="20"/>
        </w:rPr>
        <w:t xml:space="preserve">- реализация проектов, направленных на создание и развитие доступной туристской среды для лиц с ограниченными возможностями здоровья, стимулирование развития инклюзивного туризма, в том числе оборудование пандусов, подъемников, адаптационные работы и иные мероприятия по созданию безбарьерной среды, среды для лиц с ограниченными возможностями здоровья по зрению и слуху;</w:t>
      </w:r>
    </w:p>
    <w:p>
      <w:pPr>
        <w:pStyle w:val="0"/>
        <w:spacing w:before="200" w:lineRule="auto"/>
        <w:ind w:firstLine="540"/>
        <w:jc w:val="both"/>
      </w:pPr>
      <w:r>
        <w:rPr>
          <w:sz w:val="20"/>
        </w:rPr>
        <w:t xml:space="preserve">в) создание или приобретение, установка объектов кемпинг-размещения, кемпстоянок, навесных конструкций для транспортных средств, а также приобретение кемпинговых палаток и других видов оборудования, используемого для организации пребывания (ночлега), включающих обустройство жилой и рекреационной зон, оборудование санитарных узлов (мест общего пользования), обеспечение доступа для лиц с ограниченными возможностями здоровья, создание системы визуальной информации и навигации;</w:t>
      </w:r>
    </w:p>
    <w:p>
      <w:pPr>
        <w:pStyle w:val="0"/>
        <w:spacing w:before="200" w:lineRule="auto"/>
        <w:ind w:firstLine="540"/>
        <w:jc w:val="both"/>
      </w:pPr>
      <w:r>
        <w:rPr>
          <w:sz w:val="20"/>
        </w:rPr>
        <w:t xml:space="preserve">г) создание некапитальной нестационарной причальной инфраструктуры.</w:t>
      </w:r>
    </w:p>
    <w:bookmarkStart w:id="283" w:name="P283"/>
    <w:bookmarkEnd w:id="283"/>
    <w:p>
      <w:pPr>
        <w:pStyle w:val="0"/>
        <w:spacing w:before="200" w:lineRule="auto"/>
        <w:ind w:firstLine="540"/>
        <w:jc w:val="both"/>
      </w:pPr>
      <w:r>
        <w:rPr>
          <w:sz w:val="20"/>
        </w:rPr>
        <w:t xml:space="preserve">3.2. Максимальный размер одного гранта составляет 10000000 (десять миллионов) рублей на одного получателя гранта.</w:t>
      </w:r>
    </w:p>
    <w:p>
      <w:pPr>
        <w:pStyle w:val="0"/>
        <w:spacing w:before="200" w:lineRule="auto"/>
        <w:ind w:firstLine="540"/>
        <w:jc w:val="both"/>
      </w:pPr>
      <w:r>
        <w:rPr>
          <w:sz w:val="20"/>
        </w:rPr>
        <w:t xml:space="preserve">Грант предоставляется при условии софинансирования получателем гранта расходов, связанных с осуществлением проекта (общественной инициативы), направленного на развитие туристской инфраструктуры, в размере не менее 30% от размера гранта. При этом к средствам получателя гранта относятся средства, израсходованные на реализацию проекта с 1 января года заключения соглашения и до даты завершения результата предоставления гранта, указанной в соглашении.</w:t>
      </w:r>
    </w:p>
    <w:bookmarkStart w:id="285" w:name="P285"/>
    <w:bookmarkEnd w:id="285"/>
    <w:p>
      <w:pPr>
        <w:pStyle w:val="0"/>
        <w:spacing w:before="200" w:lineRule="auto"/>
        <w:ind w:firstLine="540"/>
        <w:jc w:val="both"/>
      </w:pPr>
      <w:r>
        <w:rPr>
          <w:sz w:val="20"/>
        </w:rPr>
        <w:t xml:space="preserve">3.3. Размер гранта рассчитывается по следующей формуле:</w:t>
      </w:r>
    </w:p>
    <w:p>
      <w:pPr>
        <w:pStyle w:val="0"/>
        <w:ind w:firstLine="540"/>
        <w:jc w:val="both"/>
      </w:pPr>
      <w:r>
        <w:rPr>
          <w:sz w:val="20"/>
        </w:rPr>
      </w:r>
    </w:p>
    <w:p>
      <w:pPr>
        <w:pStyle w:val="0"/>
        <w:ind w:firstLine="540"/>
        <w:jc w:val="both"/>
      </w:pPr>
      <w:r>
        <w:rPr>
          <w:position w:val="-23"/>
        </w:rPr>
        <w:drawing>
          <wp:inline distT="0" distB="0" distL="0" distR="0">
            <wp:extent cx="518160" cy="419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518160" cy="419100"/>
                    </a:xfrm>
                    <a:prstGeom prst="rect">
                      <a:avLst/>
                    </a:prstGeom>
                    <a:noFill/>
                    <a:ln>
                      <a:noFill/>
                    </a:ln>
                  </pic:spPr>
                </pic:pic>
              </a:graphicData>
            </a:graphic>
          </wp:inline>
        </w:drawing>
      </w:r>
      <w:r>
        <w:rPr>
          <w:sz w:val="20"/>
        </w:rPr>
        <w:t xml:space="preserve">, где:</w:t>
      </w:r>
    </w:p>
    <w:p>
      <w:pPr>
        <w:pStyle w:val="0"/>
        <w:ind w:firstLine="540"/>
        <w:jc w:val="both"/>
      </w:pPr>
      <w:r>
        <w:rPr>
          <w:sz w:val="20"/>
        </w:rPr>
      </w:r>
    </w:p>
    <w:p>
      <w:pPr>
        <w:pStyle w:val="0"/>
        <w:ind w:firstLine="540"/>
        <w:jc w:val="both"/>
      </w:pPr>
      <w:r>
        <w:rPr>
          <w:sz w:val="20"/>
        </w:rPr>
        <w:t xml:space="preserve">Г - рассчитанный размер гранта;</w:t>
      </w:r>
    </w:p>
    <w:p>
      <w:pPr>
        <w:pStyle w:val="0"/>
        <w:spacing w:before="200" w:lineRule="auto"/>
        <w:ind w:firstLine="540"/>
        <w:jc w:val="both"/>
      </w:pPr>
      <w:r>
        <w:rPr>
          <w:sz w:val="20"/>
        </w:rPr>
        <w:t xml:space="preserve">Р - расходы на реализацию проекта (общественной инициативы), предусмотренные паспортом проекта (общественной инициативы) в соответствии с направлениями расходов гранта, установленными </w:t>
      </w:r>
      <w:hyperlink w:history="0" w:anchor="P269" w:tooltip="3.1. Грант предоставляется в целях финансового обеспечения затрат на мероприятия, связанные с реализацией общественных инициатив и проектов, направленных на развитие туристской инфраструктуры, по следующим направлениям расходов:">
        <w:r>
          <w:rPr>
            <w:sz w:val="20"/>
            <w:color w:val="0000ff"/>
          </w:rPr>
          <w:t xml:space="preserve">пунктом 3.1</w:t>
        </w:r>
      </w:hyperlink>
      <w:r>
        <w:rPr>
          <w:sz w:val="20"/>
        </w:rPr>
        <w:t xml:space="preserve"> настоящего Порядка.</w:t>
      </w:r>
    </w:p>
    <w:p>
      <w:pPr>
        <w:pStyle w:val="0"/>
        <w:spacing w:before="200" w:lineRule="auto"/>
        <w:ind w:firstLine="540"/>
        <w:jc w:val="both"/>
      </w:pPr>
      <w:r>
        <w:rPr>
          <w:sz w:val="20"/>
        </w:rPr>
        <w:t xml:space="preserve">Если рассчитанный размер гранта превышает 10000000 рублей, рассчитанным размером гранта считается 10000000 рублей.</w:t>
      </w:r>
    </w:p>
    <w:p>
      <w:pPr>
        <w:pStyle w:val="0"/>
        <w:spacing w:before="200" w:lineRule="auto"/>
        <w:ind w:firstLine="540"/>
        <w:jc w:val="both"/>
      </w:pPr>
      <w:r>
        <w:rPr>
          <w:sz w:val="20"/>
        </w:rPr>
        <w:t xml:space="preserve">Грант предоставляется в рассчитанном размере, за исключением случая, если рассчитанный размер гранта превышает запрашиваемую сумму гранта.</w:t>
      </w:r>
    </w:p>
    <w:p>
      <w:pPr>
        <w:pStyle w:val="0"/>
        <w:spacing w:before="200" w:lineRule="auto"/>
        <w:ind w:firstLine="540"/>
        <w:jc w:val="both"/>
      </w:pPr>
      <w:r>
        <w:rPr>
          <w:sz w:val="20"/>
        </w:rPr>
        <w:t xml:space="preserve">Если рассчитанный размер гранта превышает запрашиваемую сумму гранта, грант предоставляется в размере запрашиваемой суммы гранта.</w:t>
      </w:r>
    </w:p>
    <w:bookmarkStart w:id="294" w:name="P294"/>
    <w:bookmarkEnd w:id="294"/>
    <w:p>
      <w:pPr>
        <w:pStyle w:val="0"/>
        <w:spacing w:before="200" w:lineRule="auto"/>
        <w:ind w:firstLine="540"/>
        <w:jc w:val="both"/>
      </w:pPr>
      <w:r>
        <w:rPr>
          <w:sz w:val="20"/>
        </w:rPr>
        <w:t xml:space="preserve">3.4. В случае если совокупный размер грантов, подлежащих предоставлению победителям отбора согласно </w:t>
      </w:r>
      <w:hyperlink w:history="0" w:anchor="P285" w:tooltip="3.3. Размер гранта рассчитывается по следующей формуле:">
        <w:r>
          <w:rPr>
            <w:sz w:val="20"/>
            <w:color w:val="0000ff"/>
          </w:rPr>
          <w:t xml:space="preserve">пункту 3.3</w:t>
        </w:r>
      </w:hyperlink>
      <w:r>
        <w:rPr>
          <w:sz w:val="20"/>
        </w:rPr>
        <w:t xml:space="preserve"> настоящего Порядка, превышает лимиты бюджетных обязательств, доведенные до Министерства, победители отбора получают грантовую поддержку в порядке убывания итогового количества баллов согласно критериям оценки заявок в полном объеме сумм грантов, подлежащих предоставлению победителям отбора согласно </w:t>
      </w:r>
      <w:hyperlink w:history="0" w:anchor="P285" w:tooltip="3.3. Размер гранта рассчитывается по следующей формуле:">
        <w:r>
          <w:rPr>
            <w:sz w:val="20"/>
            <w:color w:val="0000ff"/>
          </w:rPr>
          <w:t xml:space="preserve">пункту 3.3</w:t>
        </w:r>
      </w:hyperlink>
      <w:r>
        <w:rPr>
          <w:sz w:val="20"/>
        </w:rPr>
        <w:t xml:space="preserve"> настоящего Порядка, до исчерпания лимитов бюджетных обязательств, доведенных до Министерства.</w:t>
      </w:r>
    </w:p>
    <w:p>
      <w:pPr>
        <w:pStyle w:val="0"/>
        <w:spacing w:before="200" w:lineRule="auto"/>
        <w:ind w:firstLine="540"/>
        <w:jc w:val="both"/>
      </w:pPr>
      <w:r>
        <w:rPr>
          <w:sz w:val="20"/>
        </w:rPr>
        <w:t xml:space="preserve">Остаток в размере менее суммы гранта, подлежащей предоставлению победителю отбора согласно </w:t>
      </w:r>
      <w:hyperlink w:history="0" w:anchor="P285" w:tooltip="3.3. Размер гранта рассчитывается по следующей формуле:">
        <w:r>
          <w:rPr>
            <w:sz w:val="20"/>
            <w:color w:val="0000ff"/>
          </w:rPr>
          <w:t xml:space="preserve">пункту 3.3</w:t>
        </w:r>
      </w:hyperlink>
      <w:r>
        <w:rPr>
          <w:sz w:val="20"/>
        </w:rPr>
        <w:t xml:space="preserve"> настоящего Порядка, предоставляется следующему участнику, набравшему максимальное количество баллов согласно критериям оценки заявок, при условии предоставления им согласия на получение меньшей суммы с гарантией выполнения заявленного проекта.</w:t>
      </w:r>
    </w:p>
    <w:bookmarkStart w:id="296" w:name="P296"/>
    <w:bookmarkEnd w:id="296"/>
    <w:p>
      <w:pPr>
        <w:pStyle w:val="0"/>
        <w:spacing w:before="200" w:lineRule="auto"/>
        <w:ind w:firstLine="540"/>
        <w:jc w:val="both"/>
      </w:pPr>
      <w:r>
        <w:rPr>
          <w:sz w:val="20"/>
        </w:rPr>
        <w:t xml:space="preserve">3.5. Грант предоставляется при одновременном соблюдении следующих условий:</w:t>
      </w:r>
    </w:p>
    <w:p>
      <w:pPr>
        <w:pStyle w:val="0"/>
        <w:spacing w:before="200" w:lineRule="auto"/>
        <w:ind w:firstLine="540"/>
        <w:jc w:val="both"/>
      </w:pPr>
      <w:r>
        <w:rPr>
          <w:sz w:val="20"/>
        </w:rPr>
        <w:t xml:space="preserve">- соблюдение запрета на приобретение получателями грантов, а также иными юридическими лицами, получающими средства на основании договоров (соглашений), заключенных с получателями грантов, за счет полученных из бюджета Воронежской области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w:t>
      </w:r>
    </w:p>
    <w:p>
      <w:pPr>
        <w:pStyle w:val="0"/>
        <w:spacing w:before="200" w:lineRule="auto"/>
        <w:ind w:firstLine="540"/>
        <w:jc w:val="both"/>
      </w:pPr>
      <w:r>
        <w:rPr>
          <w:sz w:val="20"/>
        </w:rPr>
        <w:t xml:space="preserve">- согласие получателей грантов, лиц, получающих средства на основании договоров (соглашений), заключенных с получателями грантов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бюджетных средств соблюдения условий и порядка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в соответствии со </w:t>
      </w:r>
      <w:hyperlink w:history="0" r:id="rId27"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8"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bookmarkStart w:id="299" w:name="P299"/>
    <w:bookmarkEnd w:id="299"/>
    <w:p>
      <w:pPr>
        <w:pStyle w:val="0"/>
        <w:spacing w:before="200" w:lineRule="auto"/>
        <w:ind w:firstLine="540"/>
        <w:jc w:val="both"/>
      </w:pPr>
      <w:r>
        <w:rPr>
          <w:sz w:val="20"/>
        </w:rPr>
        <w:t xml:space="preserve">3.6. Заключение соглашения осуществляется при условии соответствия победителя отбора требованиям, указанным в </w:t>
      </w:r>
      <w:hyperlink w:history="0" w:anchor="P78" w:tooltip="2.6. Требования, которым должны соответствовать участники отбора на даты рассмотрения заявок и заключения соглашений:">
        <w:r>
          <w:rPr>
            <w:sz w:val="20"/>
            <w:color w:val="0000ff"/>
          </w:rPr>
          <w:t xml:space="preserve">пункте 2.6</w:t>
        </w:r>
      </w:hyperlink>
      <w:r>
        <w:rPr>
          <w:sz w:val="20"/>
        </w:rPr>
        <w:t xml:space="preserve"> настоящего Порядка.</w:t>
      </w:r>
    </w:p>
    <w:bookmarkStart w:id="300" w:name="P300"/>
    <w:bookmarkEnd w:id="300"/>
    <w:p>
      <w:pPr>
        <w:pStyle w:val="0"/>
        <w:spacing w:before="200" w:lineRule="auto"/>
        <w:ind w:firstLine="540"/>
        <w:jc w:val="both"/>
      </w:pPr>
      <w:r>
        <w:rPr>
          <w:sz w:val="20"/>
        </w:rPr>
        <w:t xml:space="preserve">3.7. Формирование и размещение Министерством в системе "Электронный бюджет" соглашения осуществляется в течение 5 рабочих дней с даты принятия Министерством решения о предоставлении грантов.</w:t>
      </w:r>
    </w:p>
    <w:p>
      <w:pPr>
        <w:pStyle w:val="0"/>
        <w:spacing w:before="200" w:lineRule="auto"/>
        <w:ind w:firstLine="540"/>
        <w:jc w:val="both"/>
      </w:pPr>
      <w:r>
        <w:rPr>
          <w:sz w:val="20"/>
        </w:rPr>
        <w:t xml:space="preserve">Победителю отбора может быть отказано в предоставлении гранта в случае неподписания победителем отбора соглашения в течение 5 рабочих дней со дня формирования и размещения Министерством соглашения в системе "Электронный бюджет".</w:t>
      </w:r>
    </w:p>
    <w:bookmarkStart w:id="302" w:name="P302"/>
    <w:bookmarkEnd w:id="302"/>
    <w:p>
      <w:pPr>
        <w:pStyle w:val="0"/>
        <w:spacing w:before="200" w:lineRule="auto"/>
        <w:ind w:firstLine="540"/>
        <w:jc w:val="both"/>
      </w:pPr>
      <w:r>
        <w:rPr>
          <w:sz w:val="20"/>
        </w:rPr>
        <w:t xml:space="preserve">3.8. Министерство заключает с победителем отбора соглашение в системе "Электронный бюджет" в соответствии с типовой формой, установленной Министерством финансов Российской Федерации, в течение 10 рабочих дней с даты принятия Министерством решения о предоставлении гранта.</w:t>
      </w:r>
    </w:p>
    <w:p>
      <w:pPr>
        <w:pStyle w:val="0"/>
        <w:spacing w:before="200" w:lineRule="auto"/>
        <w:ind w:firstLine="540"/>
        <w:jc w:val="both"/>
      </w:pPr>
      <w:r>
        <w:rPr>
          <w:sz w:val="20"/>
        </w:rPr>
        <w:t xml:space="preserve">В случае незаключения соглашения в установленный </w:t>
      </w:r>
      <w:hyperlink w:history="0" w:anchor="P302" w:tooltip="3.8. Министерство заключает с победителем отбора соглашение в системе &quot;Электронный бюджет&quot; в соответствии с типовой формой, установленной Министерством финансов Российской Федерации, в течение 10 рабочих дней с даты принятия Министерством решения о предоставлении гранта.">
        <w:r>
          <w:rPr>
            <w:sz w:val="20"/>
            <w:color w:val="0000ff"/>
          </w:rPr>
          <w:t xml:space="preserve">абзацем первым</w:t>
        </w:r>
      </w:hyperlink>
      <w:r>
        <w:rPr>
          <w:sz w:val="20"/>
        </w:rPr>
        <w:t xml:space="preserve"> настоящего пункта срок по вине победителя отбора победитель отбора признается уклонившимся от заключения соглашения.</w:t>
      </w:r>
    </w:p>
    <w:p>
      <w:pPr>
        <w:pStyle w:val="0"/>
        <w:spacing w:before="200" w:lineRule="auto"/>
        <w:ind w:firstLine="540"/>
        <w:jc w:val="both"/>
      </w:pPr>
      <w:r>
        <w:rPr>
          <w:sz w:val="20"/>
        </w:rPr>
        <w:t xml:space="preserve">3.9. В соглашении предусматривается условие о необходимости в случае уменьшения Министерству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 согласования новых условий соглашения или расторжения соглашения при недостижении согласия по новым условиям.</w:t>
      </w:r>
    </w:p>
    <w:p>
      <w:pPr>
        <w:pStyle w:val="0"/>
        <w:spacing w:before="200" w:lineRule="auto"/>
        <w:ind w:firstLine="540"/>
        <w:jc w:val="both"/>
      </w:pPr>
      <w:r>
        <w:rPr>
          <w:sz w:val="20"/>
        </w:rPr>
        <w:t xml:space="preserve">3.10. В случае принятия Министерством решения о внесении изменений в соглашение в течение 10 рабочих дней с даты принятия такого решения заключается дополнительное соглашение в соответствии с типовой формой, установленной Министерством финансов Российской Федерации, с соблюдением требований о защите государственной тайны в системе "Электронный бюджет".</w:t>
      </w:r>
    </w:p>
    <w:p>
      <w:pPr>
        <w:pStyle w:val="0"/>
        <w:spacing w:before="200" w:lineRule="auto"/>
        <w:ind w:firstLine="540"/>
        <w:jc w:val="both"/>
      </w:pPr>
      <w:r>
        <w:rPr>
          <w:sz w:val="20"/>
        </w:rPr>
        <w:t xml:space="preserve">Решение, указанное в абзаце первом настоящего пункта, принимается в форме приказа Министерства.</w:t>
      </w:r>
    </w:p>
    <w:p>
      <w:pPr>
        <w:pStyle w:val="0"/>
        <w:spacing w:before="200" w:lineRule="auto"/>
        <w:ind w:firstLine="540"/>
        <w:jc w:val="both"/>
      </w:pPr>
      <w:r>
        <w:rPr>
          <w:sz w:val="20"/>
        </w:rPr>
        <w:t xml:space="preserve">В течение 5 рабочих дней со дня принятия решения о внесении изменений в соглашение Министерство разрабатывает проект дополнительного соглашения, размещает его в системе "Электронный бюджет" и уведомляет получателя гранта о новых условиях и о внесении изменений в соглашение способом, указанным в заявке, в целях его согласования.</w:t>
      </w:r>
    </w:p>
    <w:p>
      <w:pPr>
        <w:pStyle w:val="0"/>
        <w:spacing w:before="200" w:lineRule="auto"/>
        <w:ind w:firstLine="540"/>
        <w:jc w:val="both"/>
      </w:pPr>
      <w:r>
        <w:rPr>
          <w:sz w:val="20"/>
        </w:rPr>
        <w:t xml:space="preserve">В течение 5 рабочих дней со дня получения проекта дополнительного соглашения получатель гранта заключает дополнительное соглашение или направляет в Министерство возражения.</w:t>
      </w:r>
    </w:p>
    <w:p>
      <w:pPr>
        <w:pStyle w:val="0"/>
        <w:spacing w:before="200" w:lineRule="auto"/>
        <w:ind w:firstLine="540"/>
        <w:jc w:val="both"/>
      </w:pPr>
      <w:r>
        <w:rPr>
          <w:sz w:val="20"/>
        </w:rPr>
        <w:t xml:space="preserve">При реорганизации получателя гранта,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гранта, являющегося юридическим лицом, в форме разделения, выделения (за исключением случая, указанного в </w:t>
      </w:r>
      <w:hyperlink w:history="0" w:anchor="P312" w:tooltip="При реорганизации получателя гранта,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от 14.07.2022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w:r>
          <w:rPr>
            <w:sz w:val="20"/>
            <w:color w:val="0000ff"/>
          </w:rPr>
          <w:t xml:space="preserve">абзаце восьмом</w:t>
        </w:r>
      </w:hyperlink>
      <w:r>
        <w:rPr>
          <w:sz w:val="20"/>
        </w:rPr>
        <w:t xml:space="preserve"> настоящего пункта), а также при ликвидации получателя гранта, являющегося юридическим лицом, или прекращении деятельности получателя гранта,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w:history="0" r:id="rId29"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абзацем вторым пункта 5 статьи 23</w:t>
        </w:r>
      </w:hyperlink>
      <w:r>
        <w:rPr>
          <w:sz w:val="20"/>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бюджет Воронежской области.</w:t>
      </w:r>
    </w:p>
    <w:p>
      <w:pPr>
        <w:pStyle w:val="0"/>
        <w:spacing w:before="200" w:lineRule="auto"/>
        <w:ind w:firstLine="540"/>
        <w:jc w:val="both"/>
      </w:pPr>
      <w:r>
        <w:rPr>
          <w:sz w:val="20"/>
        </w:rPr>
        <w:t xml:space="preserve">При прекращении деятельности получателя гранта,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w:history="0" r:id="rId30"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абзацем вторым пункта 5 статьи 23</w:t>
        </w:r>
      </w:hyperlink>
      <w:r>
        <w:rPr>
          <w:sz w:val="20"/>
        </w:rPr>
        <w:t xml:space="preserve"> Гражданского кодекса Российской Федерации, передающего свои права другому гражданину в соответствии со </w:t>
      </w:r>
      <w:hyperlink w:history="0" r:id="rId31" w:tooltip="Федеральный закон от 11.06.2003 N 74-ФЗ (ред. от 31.07.2025) &quot;О крестьянском (фермерском) хозяйстве&quot; {КонсультантПлюс}">
        <w:r>
          <w:rPr>
            <w:sz w:val="20"/>
            <w:color w:val="0000ff"/>
          </w:rPr>
          <w:t xml:space="preserve">статьей 18</w:t>
        </w:r>
      </w:hyperlink>
      <w:r>
        <w:rPr>
          <w:sz w:val="20"/>
        </w:rPr>
        <w:t xml:space="preserve"> Федерального закона от 11.06.2003 N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bookmarkStart w:id="312" w:name="P312"/>
    <w:bookmarkEnd w:id="312"/>
    <w:p>
      <w:pPr>
        <w:pStyle w:val="0"/>
        <w:spacing w:before="200" w:lineRule="auto"/>
        <w:ind w:firstLine="540"/>
        <w:jc w:val="both"/>
      </w:pPr>
      <w:r>
        <w:rPr>
          <w:sz w:val="20"/>
        </w:rPr>
        <w:t xml:space="preserve">При реорганизации получателя гранта,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w:t>
      </w:r>
      <w:hyperlink w:history="0" r:id="rId32"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0"/>
            <w:color w:val="0000ff"/>
          </w:rPr>
          <w:t xml:space="preserve">статьей 8</w:t>
        </w:r>
      </w:hyperlink>
      <w:r>
        <w:rPr>
          <w:sz w:val="20"/>
        </w:rPr>
        <w:t xml:space="preserve"> Федерального закона от 14.07.2022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гранта, в случае если по результатам такой реорганизации права и обязанности по соглашению сохраняются за получателем гранта.</w:t>
      </w:r>
    </w:p>
    <w:bookmarkStart w:id="313" w:name="P313"/>
    <w:bookmarkEnd w:id="313"/>
    <w:p>
      <w:pPr>
        <w:pStyle w:val="0"/>
        <w:spacing w:before="200" w:lineRule="auto"/>
        <w:ind w:firstLine="540"/>
        <w:jc w:val="both"/>
      </w:pPr>
      <w:r>
        <w:rPr>
          <w:sz w:val="20"/>
        </w:rPr>
        <w:t xml:space="preserve">3.11. Результат предоставления гранта: реализованы мероприятия субъектами Российской Федерации в рамках предоставления единой субсидии из федерального бюджета бюджетам субъектов Российской Федерации в целях достижения показателя государственной программы "количество туристических поездок по территории Российской Федерации" (реализация проекта (общественной инициативы), направленного на развитие туристской инфраструктуры). Тип результата: оказание услуг (выполнение работ). Единица измерения результата: единица.</w:t>
      </w:r>
    </w:p>
    <w:p>
      <w:pPr>
        <w:pStyle w:val="0"/>
        <w:spacing w:before="200" w:lineRule="auto"/>
        <w:ind w:firstLine="540"/>
        <w:jc w:val="both"/>
      </w:pPr>
      <w:r>
        <w:rPr>
          <w:sz w:val="20"/>
        </w:rPr>
        <w:t xml:space="preserve">Получатель гранта принимает обязательство о достижении в году получения гранта результата предоставления гранта в соответствии с соглашением.</w:t>
      </w:r>
    </w:p>
    <w:p>
      <w:pPr>
        <w:pStyle w:val="0"/>
        <w:spacing w:before="200" w:lineRule="auto"/>
        <w:ind w:firstLine="540"/>
        <w:jc w:val="both"/>
      </w:pPr>
      <w:r>
        <w:rPr>
          <w:sz w:val="20"/>
        </w:rPr>
        <w:t xml:space="preserve">3.12. Гранты подлежат перечислению на лицевые счета получателей грантов, открытые в министерстве финансов Воронежской области, с учетом положений, установленных бюджетным законодательством Российской Федерации, не позднее 20-го рабочего дня, следующего за днем принятия решения Министерством о предоставлении гранта.</w:t>
      </w:r>
    </w:p>
    <w:p>
      <w:pPr>
        <w:pStyle w:val="0"/>
        <w:spacing w:before="200" w:lineRule="auto"/>
        <w:ind w:firstLine="540"/>
        <w:jc w:val="both"/>
      </w:pPr>
      <w:r>
        <w:rPr>
          <w:sz w:val="20"/>
        </w:rPr>
        <w:t xml:space="preserve">3.13. Для перечисления грантов, полученных на текущий финансовый год из средств, поступивших в бюджет Воронежской области из федерального бюджета, предусмотренных соглашением с Министерством экономического развития Российской Федерации, и средств областного бюджета, предусмотренных законом Воронежской области об областном бюджете на соответствующий финансовый год и на плановый период, Министерство представляет в министерство финансов Воронежской области распоряжения о совершении казначейских платежей (реестры финансирования на перечисление средств) с указанием кода цели и суммы по соответствующему источнику средств.</w:t>
      </w:r>
    </w:p>
    <w:p>
      <w:pPr>
        <w:pStyle w:val="0"/>
        <w:ind w:firstLine="540"/>
        <w:jc w:val="both"/>
      </w:pPr>
      <w:r>
        <w:rPr>
          <w:sz w:val="20"/>
        </w:rPr>
      </w:r>
    </w:p>
    <w:p>
      <w:pPr>
        <w:pStyle w:val="2"/>
        <w:outlineLvl w:val="1"/>
        <w:jc w:val="center"/>
      </w:pPr>
      <w:r>
        <w:rPr>
          <w:sz w:val="20"/>
        </w:rPr>
        <w:t xml:space="preserve">4. Требования к отчетности</w:t>
      </w:r>
    </w:p>
    <w:p>
      <w:pPr>
        <w:pStyle w:val="0"/>
        <w:ind w:firstLine="540"/>
        <w:jc w:val="both"/>
      </w:pPr>
      <w:r>
        <w:rPr>
          <w:sz w:val="20"/>
        </w:rPr>
      </w:r>
    </w:p>
    <w:bookmarkStart w:id="320" w:name="P320"/>
    <w:bookmarkEnd w:id="320"/>
    <w:p>
      <w:pPr>
        <w:pStyle w:val="0"/>
        <w:ind w:firstLine="540"/>
        <w:jc w:val="both"/>
      </w:pPr>
      <w:r>
        <w:rPr>
          <w:sz w:val="20"/>
        </w:rPr>
        <w:t xml:space="preserve">4.1. Получатель гранта ежеквартально в течение 5 рабочих дней, следующих за последним днем отчетного квартала, направляет в Министерство отчеты о достижении значения результата предоставления гранта и об осуществлении расходов, источником финансового обеспечения которых является грант, по формам, предусмотренным типовыми формами, установленными Министерством финансов Российской Федерации для соглашений, в системе "Электронный бюджет" (далее - отчетность).</w:t>
      </w:r>
    </w:p>
    <w:p>
      <w:pPr>
        <w:pStyle w:val="0"/>
        <w:spacing w:before="200" w:lineRule="auto"/>
        <w:ind w:firstLine="540"/>
        <w:jc w:val="both"/>
      </w:pPr>
      <w:r>
        <w:rPr>
          <w:sz w:val="20"/>
        </w:rPr>
        <w:t xml:space="preserve">4.2. Министерство в течение 10 рабочих дней со дня получения отчетности, представленной получателем гранта в соответствии с </w:t>
      </w:r>
      <w:hyperlink w:history="0" w:anchor="P320" w:tooltip="4.1. Получатель гранта ежеквартально в течение 5 рабочих дней, следующих за последним днем отчетного квартала, направляет в Министерство отчеты о достижении значения результата предоставления гранта и об осуществлении расходов, источником финансового обеспечения которых является грант, по формам, предусмотренным типовыми формами, установленными Министерством финансов Российской Федерации для соглашений, в системе &quot;Электронный бюджет&quot; (далее - отчетность).">
        <w:r>
          <w:rPr>
            <w:sz w:val="20"/>
            <w:color w:val="0000ff"/>
          </w:rPr>
          <w:t xml:space="preserve">пунктом 4.1</w:t>
        </w:r>
      </w:hyperlink>
      <w:r>
        <w:rPr>
          <w:sz w:val="20"/>
        </w:rPr>
        <w:t xml:space="preserve"> настоящего Порядка, проверяет отчетность и принимает решение о приеме отчетности или об отказе в приеме отчетности.</w:t>
      </w:r>
    </w:p>
    <w:p>
      <w:pPr>
        <w:pStyle w:val="0"/>
        <w:spacing w:before="200" w:lineRule="auto"/>
        <w:ind w:firstLine="540"/>
        <w:jc w:val="both"/>
      </w:pPr>
      <w:r>
        <w:rPr>
          <w:sz w:val="20"/>
        </w:rPr>
        <w:t xml:space="preserve">Основанием для отказа в приеме отчетности является установление факта недостоверности представленной получателем гранта информации.</w:t>
      </w:r>
    </w:p>
    <w:p>
      <w:pPr>
        <w:pStyle w:val="0"/>
        <w:spacing w:before="200" w:lineRule="auto"/>
        <w:ind w:firstLine="540"/>
        <w:jc w:val="both"/>
      </w:pPr>
      <w:r>
        <w:rPr>
          <w:sz w:val="20"/>
        </w:rPr>
        <w:t xml:space="preserve">Получатель гранта должен быть проинформирован о принятом решении в течение 5 рабочих дней со дня его принятия (в случае отказа в приеме отчетности - с указанием причины принятия соответствующего решения).</w:t>
      </w:r>
    </w:p>
    <w:p>
      <w:pPr>
        <w:pStyle w:val="0"/>
        <w:spacing w:before="200" w:lineRule="auto"/>
        <w:ind w:firstLine="540"/>
        <w:jc w:val="both"/>
      </w:pPr>
      <w:r>
        <w:rPr>
          <w:sz w:val="20"/>
        </w:rPr>
        <w:t xml:space="preserve">Получатель гранта в течение 5 дней со дня получения отказа в приеме отчетности представляет в Министерство уточненную отчетность в порядке, установленном </w:t>
      </w:r>
      <w:hyperlink w:history="0" w:anchor="P320" w:tooltip="4.1. Получатель гранта ежеквартально в течение 5 рабочих дней, следующих за последним днем отчетного квартала, направляет в Министерство отчеты о достижении значения результата предоставления гранта и об осуществлении расходов, источником финансового обеспечения которых является грант, по формам, предусмотренным типовыми формами, установленными Министерством финансов Российской Федерации для соглашений, в системе &quot;Электронный бюджет&quot; (далее - отчетность).">
        <w:r>
          <w:rPr>
            <w:sz w:val="20"/>
            <w:color w:val="0000ff"/>
          </w:rPr>
          <w:t xml:space="preserve">пунктом 4.1</w:t>
        </w:r>
      </w:hyperlink>
      <w:r>
        <w:rPr>
          <w:sz w:val="20"/>
        </w:rPr>
        <w:t xml:space="preserve"> настоящего Порядка.</w:t>
      </w:r>
    </w:p>
    <w:p>
      <w:pPr>
        <w:pStyle w:val="0"/>
        <w:ind w:firstLine="540"/>
        <w:jc w:val="both"/>
      </w:pPr>
      <w:r>
        <w:rPr>
          <w:sz w:val="20"/>
        </w:rPr>
      </w:r>
    </w:p>
    <w:p>
      <w:pPr>
        <w:pStyle w:val="2"/>
        <w:outlineLvl w:val="1"/>
        <w:jc w:val="center"/>
      </w:pPr>
      <w:r>
        <w:rPr>
          <w:sz w:val="20"/>
        </w:rPr>
        <w:t xml:space="preserve">5. Требования об осуществлении контроля (мониторинга)</w:t>
      </w:r>
    </w:p>
    <w:p>
      <w:pPr>
        <w:pStyle w:val="2"/>
        <w:jc w:val="center"/>
      </w:pPr>
      <w:r>
        <w:rPr>
          <w:sz w:val="20"/>
        </w:rPr>
        <w:t xml:space="preserve">за соблюдением условий и порядка предоставления грантов</w:t>
      </w:r>
    </w:p>
    <w:p>
      <w:pPr>
        <w:pStyle w:val="2"/>
        <w:jc w:val="center"/>
      </w:pPr>
      <w:r>
        <w:rPr>
          <w:sz w:val="20"/>
        </w:rPr>
        <w:t xml:space="preserve">и ответственности за их нарушение</w:t>
      </w:r>
    </w:p>
    <w:p>
      <w:pPr>
        <w:pStyle w:val="0"/>
        <w:ind w:firstLine="540"/>
        <w:jc w:val="both"/>
      </w:pPr>
      <w:r>
        <w:rPr>
          <w:sz w:val="20"/>
        </w:rPr>
      </w:r>
    </w:p>
    <w:p>
      <w:pPr>
        <w:pStyle w:val="0"/>
        <w:ind w:firstLine="540"/>
        <w:jc w:val="both"/>
      </w:pPr>
      <w:r>
        <w:rPr>
          <w:sz w:val="20"/>
        </w:rPr>
        <w:t xml:space="preserve">5.1. Министерство осуществляет проверки соблюдения получателями грантов условий и порядка предоставления грантов, в том числе в части достижения результата предоставления гранта.</w:t>
      </w:r>
    </w:p>
    <w:p>
      <w:pPr>
        <w:pStyle w:val="0"/>
        <w:spacing w:before="200" w:lineRule="auto"/>
        <w:ind w:firstLine="540"/>
        <w:jc w:val="both"/>
      </w:pPr>
      <w:r>
        <w:rPr>
          <w:sz w:val="20"/>
        </w:rPr>
        <w:t xml:space="preserve">Органы государственного финансового контроля осуществляют проверки в соответствии со </w:t>
      </w:r>
      <w:hyperlink w:history="0" r:id="rId33"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4"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5.2. Мониторинг достижения результатов предоставления гранта проводится Министерством исходя из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Министерством финансов Российской Федерации.</w:t>
      </w:r>
    </w:p>
    <w:p>
      <w:pPr>
        <w:pStyle w:val="0"/>
        <w:spacing w:before="200" w:lineRule="auto"/>
        <w:ind w:firstLine="540"/>
        <w:jc w:val="both"/>
      </w:pPr>
      <w:r>
        <w:rPr>
          <w:sz w:val="20"/>
        </w:rPr>
        <w:t xml:space="preserve">5.3. Ответственность за нецелевое использование предоставленного гранта, недостоверность сведений, содержащихся в документах, несет получатель гранта в соответствии с действующим законодательством.</w:t>
      </w:r>
    </w:p>
    <w:p>
      <w:pPr>
        <w:pStyle w:val="0"/>
        <w:spacing w:before="200" w:lineRule="auto"/>
        <w:ind w:firstLine="540"/>
        <w:jc w:val="both"/>
      </w:pPr>
      <w:r>
        <w:rPr>
          <w:sz w:val="20"/>
        </w:rPr>
        <w:t xml:space="preserve">5.4. В случае нарушения получателем гранта условий, установленных при предоставлении гранта, выявленного в том числе по фактам проверок, проведенных Министерством и органами государственного финансового контроля, а также в случае недостижения значения результата предоставления гранта средства гранта подлежат возврату в доход областного бюджета в соответствии с бюджетным законодательством Российской Федерации.</w:t>
      </w:r>
    </w:p>
    <w:p>
      <w:pPr>
        <w:pStyle w:val="0"/>
        <w:spacing w:before="200" w:lineRule="auto"/>
        <w:ind w:firstLine="540"/>
        <w:jc w:val="both"/>
      </w:pPr>
      <w:r>
        <w:rPr>
          <w:sz w:val="20"/>
        </w:rPr>
        <w:t xml:space="preserve">При выявлении нарушения условий, установленных при предоставлении гранта, Министерство принимает меры по возврату гранта посредством направления получателю гранта требования о возврате гранта в течение 20 рабочих дней с даты выявления нарушения. Грант подлежит возврату в областной бюджет в течение 30 календарных дней с даты получения требования.</w:t>
      </w:r>
    </w:p>
    <w:p>
      <w:pPr>
        <w:pStyle w:val="0"/>
        <w:spacing w:before="200" w:lineRule="auto"/>
        <w:ind w:firstLine="540"/>
        <w:jc w:val="both"/>
      </w:pPr>
      <w:r>
        <w:rPr>
          <w:sz w:val="20"/>
        </w:rPr>
        <w:t xml:space="preserve">При невозврате гранта в установленный срок Министерство принимает меры по взысканию подлежащего возврату гранта в областной бюджет в судебном порядке.</w:t>
      </w:r>
    </w:p>
    <w:p>
      <w:pPr>
        <w:pStyle w:val="0"/>
        <w:spacing w:before="200" w:lineRule="auto"/>
        <w:ind w:firstLine="540"/>
        <w:jc w:val="both"/>
      </w:pPr>
      <w:r>
        <w:rPr>
          <w:sz w:val="20"/>
        </w:rPr>
        <w:t xml:space="preserve">5.5. Контроль за целевым использованием гранта осуществляет Министерство.</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грантов в форме</w:t>
      </w:r>
    </w:p>
    <w:p>
      <w:pPr>
        <w:pStyle w:val="0"/>
        <w:jc w:val="right"/>
      </w:pPr>
      <w:r>
        <w:rPr>
          <w:sz w:val="20"/>
        </w:rPr>
        <w:t xml:space="preserve">субсидий на поддержку общественных</w:t>
      </w:r>
    </w:p>
    <w:p>
      <w:pPr>
        <w:pStyle w:val="0"/>
        <w:jc w:val="right"/>
      </w:pPr>
      <w:r>
        <w:rPr>
          <w:sz w:val="20"/>
        </w:rPr>
        <w:t xml:space="preserve">инициатив и проектов, направленных на</w:t>
      </w:r>
    </w:p>
    <w:p>
      <w:pPr>
        <w:pStyle w:val="0"/>
        <w:jc w:val="right"/>
      </w:pPr>
      <w:r>
        <w:rPr>
          <w:sz w:val="20"/>
        </w:rPr>
        <w:t xml:space="preserve">развитие туристской инфраструктуры,</w:t>
      </w:r>
    </w:p>
    <w:p>
      <w:pPr>
        <w:pStyle w:val="0"/>
        <w:jc w:val="right"/>
      </w:pPr>
      <w:r>
        <w:rPr>
          <w:sz w:val="20"/>
        </w:rPr>
        <w:t xml:space="preserve">в соответствии с государственной</w:t>
      </w:r>
    </w:p>
    <w:p>
      <w:pPr>
        <w:pStyle w:val="0"/>
        <w:jc w:val="right"/>
      </w:pPr>
      <w:r>
        <w:rPr>
          <w:sz w:val="20"/>
        </w:rPr>
        <w:t xml:space="preserve">программой Воронежской области</w:t>
      </w:r>
    </w:p>
    <w:p>
      <w:pPr>
        <w:pStyle w:val="0"/>
        <w:jc w:val="right"/>
      </w:pPr>
      <w:r>
        <w:rPr>
          <w:sz w:val="20"/>
        </w:rPr>
        <w:t xml:space="preserve">"Развитие культуры и туризма"</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462"/>
        <w:gridCol w:w="1361"/>
        <w:gridCol w:w="284"/>
        <w:gridCol w:w="3969"/>
      </w:tblGrid>
      <w:tr>
        <w:tc>
          <w:tcPr>
            <w:gridSpan w:val="2"/>
            <w:tcW w:w="4823" w:type="dxa"/>
            <w:tcBorders>
              <w:top w:val="nil"/>
              <w:left w:val="nil"/>
              <w:bottom w:val="nil"/>
              <w:right w:val="nil"/>
            </w:tcBorders>
          </w:tcPr>
          <w:p>
            <w:pPr>
              <w:pStyle w:val="0"/>
            </w:pPr>
            <w:r>
              <w:rPr>
                <w:sz w:val="20"/>
              </w:rPr>
            </w:r>
          </w:p>
        </w:tc>
        <w:tc>
          <w:tcPr>
            <w:gridSpan w:val="2"/>
            <w:tcW w:w="4253" w:type="dxa"/>
            <w:tcBorders>
              <w:top w:val="nil"/>
              <w:left w:val="nil"/>
              <w:bottom w:val="nil"/>
              <w:right w:val="nil"/>
            </w:tcBorders>
          </w:tcPr>
          <w:p>
            <w:pPr>
              <w:pStyle w:val="0"/>
            </w:pPr>
            <w:r>
              <w:rPr>
                <w:sz w:val="20"/>
              </w:rPr>
              <w:t xml:space="preserve">Министерство предпринимательства, торговли и туризма</w:t>
            </w:r>
          </w:p>
          <w:p>
            <w:pPr>
              <w:pStyle w:val="0"/>
            </w:pPr>
            <w:r>
              <w:rPr>
                <w:sz w:val="20"/>
              </w:rPr>
              <w:t xml:space="preserve">Воронежской области</w:t>
            </w:r>
          </w:p>
        </w:tc>
      </w:tr>
      <w:tr>
        <w:tc>
          <w:tcPr>
            <w:gridSpan w:val="4"/>
            <w:tcW w:w="9076" w:type="dxa"/>
            <w:tcBorders>
              <w:top w:val="nil"/>
              <w:left w:val="nil"/>
              <w:bottom w:val="nil"/>
              <w:right w:val="nil"/>
            </w:tcBorders>
          </w:tcPr>
          <w:p>
            <w:pPr>
              <w:pStyle w:val="0"/>
            </w:pPr>
            <w:r>
              <w:rPr>
                <w:sz w:val="20"/>
              </w:rPr>
            </w:r>
          </w:p>
        </w:tc>
      </w:tr>
      <w:tr>
        <w:tc>
          <w:tcPr>
            <w:gridSpan w:val="4"/>
            <w:tcW w:w="9076" w:type="dxa"/>
            <w:tcBorders>
              <w:top w:val="nil"/>
              <w:left w:val="nil"/>
              <w:bottom w:val="nil"/>
              <w:right w:val="nil"/>
            </w:tcBorders>
          </w:tcPr>
          <w:bookmarkStart w:id="357" w:name="P357"/>
          <w:bookmarkEnd w:id="357"/>
          <w:p>
            <w:pPr>
              <w:pStyle w:val="0"/>
              <w:jc w:val="center"/>
            </w:pPr>
            <w:r>
              <w:rPr>
                <w:sz w:val="20"/>
              </w:rPr>
              <w:t xml:space="preserve">Информация</w:t>
            </w:r>
          </w:p>
          <w:p>
            <w:pPr>
              <w:pStyle w:val="0"/>
              <w:jc w:val="center"/>
            </w:pPr>
            <w:r>
              <w:rPr>
                <w:sz w:val="20"/>
              </w:rPr>
              <w:t xml:space="preserve">__________________________________________________________</w:t>
            </w:r>
          </w:p>
          <w:p>
            <w:pPr>
              <w:pStyle w:val="0"/>
              <w:jc w:val="center"/>
            </w:pPr>
            <w:r>
              <w:rPr>
                <w:sz w:val="20"/>
              </w:rPr>
              <w:t xml:space="preserve">(наименование участника отбора)</w:t>
            </w:r>
          </w:p>
        </w:tc>
      </w:tr>
      <w:tr>
        <w:tc>
          <w:tcPr>
            <w:gridSpan w:val="4"/>
            <w:tcW w:w="9076" w:type="dxa"/>
            <w:tcBorders>
              <w:top w:val="nil"/>
              <w:left w:val="nil"/>
              <w:bottom w:val="nil"/>
              <w:right w:val="nil"/>
            </w:tcBorders>
          </w:tcPr>
          <w:p>
            <w:pPr>
              <w:pStyle w:val="0"/>
              <w:ind w:firstLine="283"/>
              <w:jc w:val="both"/>
            </w:pPr>
            <w:r>
              <w:rPr>
                <w:sz w:val="20"/>
              </w:rPr>
              <w:t xml:space="preserve">Подтверждаю, что ________________________________________________</w:t>
            </w:r>
          </w:p>
          <w:p>
            <w:pPr>
              <w:pStyle w:val="0"/>
              <w:jc w:val="center"/>
            </w:pPr>
            <w:r>
              <w:rPr>
                <w:sz w:val="20"/>
              </w:rPr>
              <w:t xml:space="preserve">(наименование участника отбора)</w:t>
            </w:r>
          </w:p>
          <w:p>
            <w:pPr>
              <w:pStyle w:val="0"/>
              <w:jc w:val="both"/>
            </w:pPr>
            <w:r>
              <w:rPr>
                <w:sz w:val="20"/>
              </w:rPr>
              <w:t xml:space="preserve">соответствует на дату подачи заявки на участие в отборе требованиям, установленным </w:t>
            </w:r>
            <w:hyperlink w:history="0" w:anchor="P78" w:tooltip="2.6. Требования, которым должны соответствовать участники отбора на даты рассмотрения заявок и заключения соглашений:">
              <w:r>
                <w:rPr>
                  <w:sz w:val="20"/>
                  <w:color w:val="0000ff"/>
                </w:rPr>
                <w:t xml:space="preserve">пунктом 2.6</w:t>
              </w:r>
            </w:hyperlink>
            <w:r>
              <w:rPr>
                <w:sz w:val="20"/>
              </w:rPr>
              <w:t xml:space="preserve"> Порядка предоставления грантов в форме субсидий на поддержку общественных инициатив и проектов, направленных на развитие туристской инфраструктуры, в соответствии с государственной программой Воронежской области "Развитие культуры и туризма", утвержденного постановлением Правительства Воронежской области от ___________ N ________ (далее соответственно - Порядок, грант).</w:t>
            </w:r>
          </w:p>
          <w:p>
            <w:pPr>
              <w:pStyle w:val="0"/>
              <w:ind w:firstLine="283"/>
              <w:jc w:val="both"/>
            </w:pPr>
            <w:r>
              <w:rPr>
                <w:sz w:val="20"/>
              </w:rPr>
              <w:t xml:space="preserve">Настоящим подтверждаю, что вся информация, содержащаяся в представленных документах или их копиях, является подлинной, и не возражаю против доступа к ней лиц, участвующих в рассмотрении документов для предоставления государственной поддержки.</w:t>
            </w:r>
          </w:p>
          <w:p>
            <w:pPr>
              <w:pStyle w:val="0"/>
              <w:ind w:firstLine="283"/>
              <w:jc w:val="both"/>
            </w:pPr>
            <w:r>
              <w:rPr>
                <w:sz w:val="20"/>
              </w:rPr>
              <w:t xml:space="preserve">Обязуюсь обеспечить софинансирование расходов, связанных с реализацией проекта, в размере не менее 30% от размера полученного гранта.</w:t>
            </w:r>
          </w:p>
          <w:p>
            <w:pPr>
              <w:pStyle w:val="0"/>
              <w:ind w:firstLine="283"/>
              <w:jc w:val="both"/>
            </w:pPr>
            <w:r>
              <w:rPr>
                <w:sz w:val="20"/>
              </w:rPr>
              <w:t xml:space="preserve">Даю согласие на осуществление проверки министерством предпринимательства, торговли и туризма Воронежской области соблюдения условий и порядка предоставления грантов, в том числе в части достижения результатов предоставления грантов, а также проверки органами государственного финансового контроля в соответствии со </w:t>
            </w:r>
            <w:hyperlink w:history="0" r:id="rId35"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6"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283"/>
              <w:jc w:val="both"/>
            </w:pPr>
            <w:r>
              <w:rPr>
                <w:sz w:val="20"/>
              </w:rPr>
              <w:t xml:space="preserve">Настоящим даю согласие на публикацию (размещение) в информационно-телекоммуникационной сети "Интернет" информации о (об)</w:t>
            </w:r>
          </w:p>
          <w:p>
            <w:pPr>
              <w:pStyle w:val="0"/>
              <w:ind w:firstLine="283"/>
              <w:jc w:val="both"/>
            </w:pPr>
            <w:r>
              <w:rPr>
                <w:sz w:val="20"/>
              </w:rPr>
              <w:t xml:space="preserve">_______________________________________________________________________</w:t>
            </w:r>
          </w:p>
          <w:p>
            <w:pPr>
              <w:pStyle w:val="0"/>
              <w:jc w:val="center"/>
            </w:pPr>
            <w:r>
              <w:rPr>
                <w:sz w:val="20"/>
              </w:rPr>
              <w:t xml:space="preserve">(наименование юридического лица/индивидуального предпринимателя)</w:t>
            </w:r>
          </w:p>
          <w:p>
            <w:pPr>
              <w:pStyle w:val="0"/>
              <w:jc w:val="both"/>
            </w:pPr>
            <w:r>
              <w:rPr>
                <w:sz w:val="20"/>
              </w:rPr>
              <w:t xml:space="preserve">как участнике отбора для предоставления грантов, о подаваемой мной заявке и иной информации, связанной с соответствующим отбором.</w:t>
            </w:r>
          </w:p>
          <w:p>
            <w:pPr>
              <w:pStyle w:val="0"/>
              <w:ind w:firstLine="283"/>
              <w:jc w:val="both"/>
            </w:pPr>
            <w:r>
              <w:rPr>
                <w:sz w:val="20"/>
              </w:rPr>
              <w:t xml:space="preserve">Реквизиты участника отбора:</w:t>
            </w:r>
          </w:p>
          <w:p>
            <w:pPr>
              <w:pStyle w:val="0"/>
              <w:ind w:firstLine="283"/>
              <w:jc w:val="both"/>
            </w:pPr>
            <w:r>
              <w:rPr>
                <w:sz w:val="20"/>
              </w:rPr>
              <w:t xml:space="preserve">1. ИНН ______________________________________.</w:t>
            </w:r>
          </w:p>
          <w:p>
            <w:pPr>
              <w:pStyle w:val="0"/>
              <w:ind w:firstLine="283"/>
              <w:jc w:val="both"/>
            </w:pPr>
            <w:r>
              <w:rPr>
                <w:sz w:val="20"/>
              </w:rPr>
              <w:t xml:space="preserve">2. Индекс ____________________________________.</w:t>
            </w:r>
          </w:p>
          <w:p>
            <w:pPr>
              <w:pStyle w:val="0"/>
              <w:ind w:firstLine="283"/>
              <w:jc w:val="both"/>
            </w:pPr>
            <w:r>
              <w:rPr>
                <w:sz w:val="20"/>
              </w:rPr>
              <w:t xml:space="preserve">3. Место нахождения ____________________________________________________.</w:t>
            </w:r>
          </w:p>
          <w:p>
            <w:pPr>
              <w:pStyle w:val="0"/>
              <w:ind w:firstLine="283"/>
              <w:jc w:val="both"/>
            </w:pPr>
            <w:r>
              <w:rPr>
                <w:sz w:val="20"/>
              </w:rPr>
              <w:t xml:space="preserve">4. Адрес _______________________________________________________________.</w:t>
            </w:r>
          </w:p>
          <w:p>
            <w:pPr>
              <w:pStyle w:val="0"/>
              <w:ind w:firstLine="283"/>
              <w:jc w:val="both"/>
            </w:pPr>
            <w:r>
              <w:rPr>
                <w:sz w:val="20"/>
              </w:rPr>
              <w:t xml:space="preserve">5. Контактный телефон ________________________.</w:t>
            </w:r>
          </w:p>
          <w:p>
            <w:pPr>
              <w:pStyle w:val="0"/>
              <w:ind w:firstLine="283"/>
              <w:jc w:val="both"/>
            </w:pPr>
            <w:r>
              <w:rPr>
                <w:sz w:val="20"/>
              </w:rPr>
              <w:t xml:space="preserve">6. Адрес электронной почты ____________________.</w:t>
            </w:r>
          </w:p>
        </w:tc>
      </w:tr>
      <w:tr>
        <w:tc>
          <w:tcPr>
            <w:gridSpan w:val="4"/>
            <w:tcW w:w="9076" w:type="dxa"/>
            <w:tcBorders>
              <w:top w:val="nil"/>
              <w:left w:val="nil"/>
              <w:bottom w:val="nil"/>
              <w:right w:val="nil"/>
            </w:tcBorders>
          </w:tcPr>
          <w:p>
            <w:pPr>
              <w:pStyle w:val="0"/>
            </w:pPr>
            <w:r>
              <w:rPr>
                <w:sz w:val="20"/>
              </w:rPr>
            </w:r>
          </w:p>
        </w:tc>
      </w:tr>
      <w:tr>
        <w:tc>
          <w:tcPr>
            <w:tcW w:w="3462" w:type="dxa"/>
            <w:tcBorders>
              <w:top w:val="nil"/>
              <w:left w:val="nil"/>
              <w:bottom w:val="nil"/>
              <w:right w:val="nil"/>
            </w:tcBorders>
          </w:tcPr>
          <w:p>
            <w:pPr>
              <w:pStyle w:val="0"/>
            </w:pPr>
            <w:r>
              <w:rPr>
                <w:sz w:val="20"/>
              </w:rPr>
              <w:t xml:space="preserve">Руководитель участника отбора</w:t>
            </w:r>
          </w:p>
        </w:tc>
        <w:tc>
          <w:tcPr>
            <w:gridSpan w:val="2"/>
            <w:tcW w:w="1645" w:type="dxa"/>
            <w:tcBorders>
              <w:top w:val="nil"/>
              <w:left w:val="nil"/>
              <w:bottom w:val="nil"/>
              <w:right w:val="nil"/>
            </w:tcBorders>
          </w:tcPr>
          <w:p>
            <w:pPr>
              <w:pStyle w:val="0"/>
              <w:jc w:val="center"/>
            </w:pPr>
            <w:r>
              <w:rPr>
                <w:sz w:val="20"/>
              </w:rPr>
              <w:t xml:space="preserve">___________</w:t>
            </w:r>
          </w:p>
          <w:p>
            <w:pPr>
              <w:pStyle w:val="0"/>
              <w:jc w:val="center"/>
            </w:pPr>
            <w:r>
              <w:rPr>
                <w:sz w:val="20"/>
              </w:rPr>
              <w:t xml:space="preserve">(подпись)</w:t>
            </w:r>
          </w:p>
        </w:tc>
        <w:tc>
          <w:tcPr>
            <w:tcW w:w="3969" w:type="dxa"/>
            <w:tcBorders>
              <w:top w:val="nil"/>
              <w:left w:val="nil"/>
              <w:bottom w:val="nil"/>
              <w:right w:val="nil"/>
            </w:tcBorders>
          </w:tcPr>
          <w:p>
            <w:pPr>
              <w:pStyle w:val="0"/>
              <w:jc w:val="center"/>
            </w:pPr>
            <w:r>
              <w:rPr>
                <w:sz w:val="20"/>
              </w:rPr>
              <w:t xml:space="preserve">_____________________________</w:t>
            </w:r>
          </w:p>
          <w:p>
            <w:pPr>
              <w:pStyle w:val="0"/>
              <w:jc w:val="center"/>
            </w:pPr>
            <w:r>
              <w:rPr>
                <w:sz w:val="20"/>
              </w:rPr>
              <w:t xml:space="preserve">(фамилия, имя, отчество</w:t>
            </w:r>
          </w:p>
          <w:p>
            <w:pPr>
              <w:pStyle w:val="0"/>
              <w:jc w:val="center"/>
            </w:pPr>
            <w:r>
              <w:rPr>
                <w:sz w:val="20"/>
              </w:rPr>
              <w:t xml:space="preserve">(при наличии))</w:t>
            </w:r>
          </w:p>
        </w:tc>
      </w:tr>
      <w:tr>
        <w:tc>
          <w:tcPr>
            <w:gridSpan w:val="4"/>
            <w:tcW w:w="9076" w:type="dxa"/>
            <w:tcBorders>
              <w:top w:val="nil"/>
              <w:left w:val="nil"/>
              <w:bottom w:val="nil"/>
              <w:right w:val="nil"/>
            </w:tcBorders>
          </w:tcPr>
          <w:p>
            <w:pPr>
              <w:pStyle w:val="0"/>
            </w:pPr>
            <w:r>
              <w:rPr>
                <w:sz w:val="20"/>
              </w:rPr>
              <w:t xml:space="preserve">Дата ________________</w:t>
            </w:r>
          </w:p>
        </w:tc>
      </w:tr>
      <w:tr>
        <w:tc>
          <w:tcPr>
            <w:gridSpan w:val="4"/>
            <w:tcW w:w="9076" w:type="dxa"/>
            <w:tcBorders>
              <w:top w:val="nil"/>
              <w:left w:val="nil"/>
              <w:bottom w:val="nil"/>
              <w:right w:val="nil"/>
            </w:tcBorders>
          </w:tcPr>
          <w:p>
            <w:pPr>
              <w:pStyle w:val="0"/>
              <w:ind w:firstLine="283"/>
              <w:jc w:val="both"/>
            </w:pPr>
            <w:r>
              <w:rPr>
                <w:sz w:val="20"/>
              </w:rPr>
              <w:t xml:space="preserve">МП (при наличии)</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предоставления грантов в форме</w:t>
      </w:r>
    </w:p>
    <w:p>
      <w:pPr>
        <w:pStyle w:val="0"/>
        <w:jc w:val="right"/>
      </w:pPr>
      <w:r>
        <w:rPr>
          <w:sz w:val="20"/>
        </w:rPr>
        <w:t xml:space="preserve">субсидий на поддержку общественных</w:t>
      </w:r>
    </w:p>
    <w:p>
      <w:pPr>
        <w:pStyle w:val="0"/>
        <w:jc w:val="right"/>
      </w:pPr>
      <w:r>
        <w:rPr>
          <w:sz w:val="20"/>
        </w:rPr>
        <w:t xml:space="preserve">инициатив и проектов, направленных на</w:t>
      </w:r>
    </w:p>
    <w:p>
      <w:pPr>
        <w:pStyle w:val="0"/>
        <w:jc w:val="right"/>
      </w:pPr>
      <w:r>
        <w:rPr>
          <w:sz w:val="20"/>
        </w:rPr>
        <w:t xml:space="preserve">развитие туристской инфраструктуры,</w:t>
      </w:r>
    </w:p>
    <w:p>
      <w:pPr>
        <w:pStyle w:val="0"/>
        <w:jc w:val="right"/>
      </w:pPr>
      <w:r>
        <w:rPr>
          <w:sz w:val="20"/>
        </w:rPr>
        <w:t xml:space="preserve">в соответствии с государственной</w:t>
      </w:r>
    </w:p>
    <w:p>
      <w:pPr>
        <w:pStyle w:val="0"/>
        <w:jc w:val="right"/>
      </w:pPr>
      <w:r>
        <w:rPr>
          <w:sz w:val="20"/>
        </w:rPr>
        <w:t xml:space="preserve">программой Воронежской области</w:t>
      </w:r>
    </w:p>
    <w:p>
      <w:pPr>
        <w:pStyle w:val="0"/>
        <w:jc w:val="right"/>
      </w:pPr>
      <w:r>
        <w:rPr>
          <w:sz w:val="20"/>
        </w:rPr>
        <w:t xml:space="preserve">"Развитие культуры и туризма"</w:t>
      </w:r>
    </w:p>
    <w:p>
      <w:pPr>
        <w:pStyle w:val="0"/>
        <w:ind w:firstLine="540"/>
        <w:jc w:val="both"/>
      </w:pPr>
      <w:r>
        <w:rPr>
          <w:sz w:val="20"/>
        </w:rPr>
      </w:r>
    </w:p>
    <w:tbl>
      <w:tblPr>
        <w:tblInd w:w="0" w:type="dxa"/>
        <w:tblLayout w:type="fixed"/>
        <w:tblBorders>
          <w:left w:val="single" w:sz="4"/>
          <w:right w:val="single" w:sz="4"/>
          <w:insideV w:val="single" w:sz="4"/>
          <w:insideH w:val="single" w:sz="4"/>
        </w:tblBorders>
        <w:tblCellMar>
          <w:top w:w="102" w:type="dxa"/>
          <w:left w:w="62" w:type="dxa"/>
          <w:bottom w:w="102" w:type="dxa"/>
          <w:right w:w="62" w:type="dxa"/>
        </w:tblCellMar>
      </w:tblPr>
      <w:tblGrid>
        <w:gridCol w:w="629"/>
        <w:gridCol w:w="1696"/>
        <w:gridCol w:w="1870"/>
        <w:gridCol w:w="1104"/>
        <w:gridCol w:w="680"/>
        <w:gridCol w:w="367"/>
        <w:gridCol w:w="1417"/>
        <w:gridCol w:w="1247"/>
      </w:tblGrid>
      <w:tr>
        <w:tblPrEx>
          <w:tblBorders>
            <w:left w:val="nil"/>
            <w:right w:val="nil"/>
            <w:insideH w:val="nil"/>
          </w:tblBorders>
        </w:tblPrEx>
        <w:tc>
          <w:tcPr>
            <w:gridSpan w:val="8"/>
            <w:tcW w:w="9010" w:type="dxa"/>
            <w:tcBorders>
              <w:top w:val="nil"/>
              <w:left w:val="nil"/>
              <w:bottom w:val="nil"/>
              <w:right w:val="nil"/>
            </w:tcBorders>
          </w:tcPr>
          <w:bookmarkStart w:id="401" w:name="P401"/>
          <w:bookmarkEnd w:id="401"/>
          <w:p>
            <w:pPr>
              <w:pStyle w:val="0"/>
              <w:jc w:val="center"/>
            </w:pPr>
            <w:r>
              <w:rPr>
                <w:sz w:val="20"/>
              </w:rPr>
              <w:t xml:space="preserve">Паспорт проекта (общественной инициативы),</w:t>
            </w:r>
          </w:p>
          <w:p>
            <w:pPr>
              <w:pStyle w:val="0"/>
              <w:jc w:val="center"/>
            </w:pPr>
            <w:r>
              <w:rPr>
                <w:sz w:val="20"/>
              </w:rPr>
              <w:t xml:space="preserve">направленного на развитие туристской инфраструктуры, в соответствии</w:t>
            </w:r>
          </w:p>
          <w:p>
            <w:pPr>
              <w:pStyle w:val="0"/>
              <w:jc w:val="center"/>
            </w:pPr>
            <w:r>
              <w:rPr>
                <w:sz w:val="20"/>
              </w:rPr>
              <w:t xml:space="preserve">с государственной программой Воронежской области</w:t>
            </w:r>
          </w:p>
          <w:p>
            <w:pPr>
              <w:pStyle w:val="0"/>
              <w:jc w:val="center"/>
            </w:pPr>
            <w:r>
              <w:rPr>
                <w:sz w:val="20"/>
              </w:rPr>
              <w:t xml:space="preserve">"Развитие культуры и туризма"</w:t>
            </w:r>
          </w:p>
        </w:tc>
      </w:tr>
      <w:tr>
        <w:tblPrEx>
          <w:tblBorders>
            <w:left w:val="nil"/>
            <w:right w:val="nil"/>
            <w:insideH w:val="nil"/>
          </w:tblBorders>
        </w:tblPrEx>
        <w:tc>
          <w:tcPr>
            <w:gridSpan w:val="8"/>
            <w:tcW w:w="9010" w:type="dxa"/>
            <w:tcBorders>
              <w:top w:val="nil"/>
              <w:left w:val="nil"/>
              <w:bottom w:val="nil"/>
              <w:right w:val="nil"/>
            </w:tcBorders>
          </w:tcPr>
          <w:p>
            <w:pPr>
              <w:pStyle w:val="0"/>
            </w:pPr>
            <w:r>
              <w:rPr>
                <w:sz w:val="20"/>
              </w:rPr>
            </w:r>
          </w:p>
        </w:tc>
      </w:tr>
      <w:tr>
        <w:tblPrEx>
          <w:tblBorders>
            <w:left w:val="nil"/>
            <w:right w:val="nil"/>
            <w:insideH w:val="nil"/>
          </w:tblBorders>
        </w:tblPrEx>
        <w:tc>
          <w:tcPr>
            <w:gridSpan w:val="8"/>
            <w:tcW w:w="9010" w:type="dxa"/>
            <w:tcBorders>
              <w:top w:val="nil"/>
              <w:left w:val="nil"/>
              <w:bottom w:val="nil"/>
              <w:right w:val="nil"/>
            </w:tcBorders>
          </w:tcPr>
          <w:p>
            <w:pPr>
              <w:pStyle w:val="0"/>
              <w:jc w:val="center"/>
            </w:pPr>
            <w:r>
              <w:rPr>
                <w:sz w:val="20"/>
              </w:rPr>
              <w:t xml:space="preserve">________________________________________________________________________</w:t>
            </w:r>
          </w:p>
          <w:p>
            <w:pPr>
              <w:pStyle w:val="0"/>
              <w:jc w:val="center"/>
            </w:pPr>
            <w:r>
              <w:rPr>
                <w:sz w:val="20"/>
              </w:rPr>
              <w:t xml:space="preserve">________________________________________________________________________</w:t>
            </w:r>
          </w:p>
          <w:p>
            <w:pPr>
              <w:pStyle w:val="0"/>
              <w:jc w:val="center"/>
            </w:pPr>
            <w:r>
              <w:rPr>
                <w:sz w:val="20"/>
              </w:rPr>
              <w:t xml:space="preserve">(наименование юридического лица или фамилия, имя, отчество (при наличии) индивидуального предпринимателя, адрес, место нахождения (для юридического лица), почтовый адрес, адрес электронной почты, номер контактного телефона)</w:t>
            </w:r>
          </w:p>
        </w:tc>
      </w:tr>
      <w:tr>
        <w:tblPrEx>
          <w:tblBorders>
            <w:left w:val="nil"/>
            <w:right w:val="nil"/>
            <w:insideH w:val="nil"/>
          </w:tblBorders>
        </w:tblPrEx>
        <w:tc>
          <w:tcPr>
            <w:gridSpan w:val="8"/>
            <w:tcW w:w="9010" w:type="dxa"/>
            <w:tcBorders>
              <w:top w:val="nil"/>
              <w:left w:val="nil"/>
              <w:right w:val="nil"/>
            </w:tcBorders>
          </w:tcPr>
          <w:p>
            <w:pPr>
              <w:pStyle w:val="0"/>
              <w:ind w:firstLine="709"/>
              <w:jc w:val="both"/>
            </w:pPr>
            <w:r>
              <w:rPr>
                <w:sz w:val="20"/>
              </w:rPr>
              <w:t xml:space="preserve">1. Общая характеристика проекта.</w:t>
            </w:r>
          </w:p>
        </w:tc>
      </w:tr>
      <w:tr>
        <w:tc>
          <w:tcPr>
            <w:gridSpan w:val="3"/>
            <w:tcW w:w="4195" w:type="dxa"/>
            <w:vAlign w:val="bottom"/>
          </w:tcPr>
          <w:p>
            <w:pPr>
              <w:pStyle w:val="0"/>
              <w:jc w:val="both"/>
            </w:pPr>
            <w:r>
              <w:rPr>
                <w:sz w:val="20"/>
              </w:rPr>
              <w:t xml:space="preserve">Наименование проекта</w:t>
            </w:r>
          </w:p>
        </w:tc>
        <w:tc>
          <w:tcPr>
            <w:gridSpan w:val="5"/>
            <w:tcW w:w="4815" w:type="dxa"/>
          </w:tcPr>
          <w:p>
            <w:pPr>
              <w:pStyle w:val="0"/>
            </w:pPr>
            <w:r>
              <w:rPr>
                <w:sz w:val="20"/>
              </w:rPr>
            </w:r>
          </w:p>
        </w:tc>
      </w:tr>
      <w:tr>
        <w:tc>
          <w:tcPr>
            <w:gridSpan w:val="3"/>
            <w:tcW w:w="4195" w:type="dxa"/>
          </w:tcPr>
          <w:p>
            <w:pPr>
              <w:pStyle w:val="0"/>
            </w:pPr>
            <w:r>
              <w:rPr>
                <w:sz w:val="20"/>
              </w:rPr>
              <w:t xml:space="preserve">Цель и задачи проекта</w:t>
            </w:r>
          </w:p>
        </w:tc>
        <w:tc>
          <w:tcPr>
            <w:gridSpan w:val="5"/>
            <w:tcW w:w="4815" w:type="dxa"/>
          </w:tcPr>
          <w:p>
            <w:pPr>
              <w:pStyle w:val="0"/>
            </w:pPr>
            <w:r>
              <w:rPr>
                <w:sz w:val="20"/>
              </w:rPr>
            </w:r>
          </w:p>
        </w:tc>
      </w:tr>
      <w:tr>
        <w:tc>
          <w:tcPr>
            <w:gridSpan w:val="3"/>
            <w:tcW w:w="4195" w:type="dxa"/>
          </w:tcPr>
          <w:p>
            <w:pPr>
              <w:pStyle w:val="0"/>
            </w:pPr>
            <w:r>
              <w:rPr>
                <w:sz w:val="20"/>
              </w:rPr>
              <w:t xml:space="preserve">Инициатор проекта</w:t>
            </w:r>
          </w:p>
        </w:tc>
        <w:tc>
          <w:tcPr>
            <w:gridSpan w:val="5"/>
            <w:tcW w:w="4815" w:type="dxa"/>
          </w:tcPr>
          <w:p>
            <w:pPr>
              <w:pStyle w:val="0"/>
            </w:pPr>
            <w:r>
              <w:rPr>
                <w:sz w:val="20"/>
              </w:rPr>
            </w:r>
          </w:p>
        </w:tc>
      </w:tr>
      <w:tr>
        <w:tc>
          <w:tcPr>
            <w:gridSpan w:val="3"/>
            <w:tcW w:w="4195" w:type="dxa"/>
          </w:tcPr>
          <w:p>
            <w:pPr>
              <w:pStyle w:val="0"/>
            </w:pPr>
            <w:r>
              <w:rPr>
                <w:sz w:val="20"/>
              </w:rPr>
              <w:t xml:space="preserve">Продолжительность реализации проекта (количество месяцев)</w:t>
            </w:r>
          </w:p>
        </w:tc>
        <w:tc>
          <w:tcPr>
            <w:gridSpan w:val="5"/>
            <w:tcW w:w="4815" w:type="dxa"/>
          </w:tcPr>
          <w:p>
            <w:pPr>
              <w:pStyle w:val="0"/>
            </w:pPr>
            <w:r>
              <w:rPr>
                <w:sz w:val="20"/>
              </w:rPr>
            </w:r>
          </w:p>
        </w:tc>
      </w:tr>
      <w:tr>
        <w:tc>
          <w:tcPr>
            <w:gridSpan w:val="3"/>
            <w:tcW w:w="4195" w:type="dxa"/>
          </w:tcPr>
          <w:p>
            <w:pPr>
              <w:pStyle w:val="0"/>
            </w:pPr>
            <w:r>
              <w:rPr>
                <w:sz w:val="20"/>
              </w:rPr>
              <w:t xml:space="preserve">Общие расходы по проекту, рублей</w:t>
            </w:r>
          </w:p>
        </w:tc>
        <w:tc>
          <w:tcPr>
            <w:gridSpan w:val="5"/>
            <w:tcW w:w="4815" w:type="dxa"/>
          </w:tcPr>
          <w:p>
            <w:pPr>
              <w:pStyle w:val="0"/>
            </w:pPr>
            <w:r>
              <w:rPr>
                <w:sz w:val="20"/>
              </w:rPr>
            </w:r>
          </w:p>
        </w:tc>
      </w:tr>
      <w:tr>
        <w:tc>
          <w:tcPr>
            <w:gridSpan w:val="3"/>
            <w:tcW w:w="4195" w:type="dxa"/>
          </w:tcPr>
          <w:p>
            <w:pPr>
              <w:pStyle w:val="0"/>
              <w:jc w:val="both"/>
            </w:pPr>
            <w:r>
              <w:rPr>
                <w:sz w:val="20"/>
              </w:rPr>
              <w:t xml:space="preserve">Размер гранта, рублей</w:t>
            </w:r>
          </w:p>
        </w:tc>
        <w:tc>
          <w:tcPr>
            <w:gridSpan w:val="5"/>
            <w:tcW w:w="4815" w:type="dxa"/>
          </w:tcPr>
          <w:p>
            <w:pPr>
              <w:pStyle w:val="0"/>
            </w:pPr>
            <w:r>
              <w:rPr>
                <w:sz w:val="20"/>
              </w:rPr>
            </w:r>
          </w:p>
        </w:tc>
      </w:tr>
      <w:tr>
        <w:tc>
          <w:tcPr>
            <w:gridSpan w:val="3"/>
            <w:tcW w:w="4195" w:type="dxa"/>
          </w:tcPr>
          <w:p>
            <w:pPr>
              <w:pStyle w:val="0"/>
              <w:jc w:val="both"/>
            </w:pPr>
            <w:r>
              <w:rPr>
                <w:sz w:val="20"/>
              </w:rPr>
              <w:t xml:space="preserve">Размер софинансирования, рублей (собственные средства, включая заемные)</w:t>
            </w:r>
          </w:p>
        </w:tc>
        <w:tc>
          <w:tcPr>
            <w:gridSpan w:val="5"/>
            <w:tcW w:w="4815" w:type="dxa"/>
          </w:tcPr>
          <w:p>
            <w:pPr>
              <w:pStyle w:val="0"/>
            </w:pPr>
            <w:r>
              <w:rPr>
                <w:sz w:val="20"/>
              </w:rPr>
            </w:r>
          </w:p>
        </w:tc>
      </w:tr>
      <w:tr>
        <w:tc>
          <w:tcPr>
            <w:gridSpan w:val="3"/>
            <w:tcW w:w="4195" w:type="dxa"/>
          </w:tcPr>
          <w:p>
            <w:pPr>
              <w:pStyle w:val="0"/>
              <w:jc w:val="both"/>
            </w:pPr>
            <w:r>
              <w:rPr>
                <w:sz w:val="20"/>
              </w:rPr>
              <w:t xml:space="preserve">Размер потраченных и подтвержденных документально собственных средств для целей реализации заявленного проекта на дату подачи заявки, рублей</w:t>
            </w:r>
          </w:p>
        </w:tc>
        <w:tc>
          <w:tcPr>
            <w:gridSpan w:val="5"/>
            <w:tcW w:w="4815" w:type="dxa"/>
          </w:tcPr>
          <w:p>
            <w:pPr>
              <w:pStyle w:val="0"/>
            </w:pPr>
            <w:r>
              <w:rPr>
                <w:sz w:val="20"/>
              </w:rPr>
            </w:r>
          </w:p>
        </w:tc>
      </w:tr>
      <w:tr>
        <w:tc>
          <w:tcPr>
            <w:gridSpan w:val="3"/>
            <w:tcW w:w="4195" w:type="dxa"/>
          </w:tcPr>
          <w:p>
            <w:pPr>
              <w:pStyle w:val="0"/>
            </w:pPr>
            <w:r>
              <w:rPr>
                <w:sz w:val="20"/>
              </w:rPr>
              <w:t xml:space="preserve">Место реализации проекта (населенный пункт, муниципальный район/городской округ)</w:t>
            </w:r>
          </w:p>
        </w:tc>
        <w:tc>
          <w:tcPr>
            <w:gridSpan w:val="5"/>
            <w:tcW w:w="4815" w:type="dxa"/>
          </w:tcPr>
          <w:p>
            <w:pPr>
              <w:pStyle w:val="0"/>
            </w:pPr>
            <w:r>
              <w:rPr>
                <w:sz w:val="20"/>
              </w:rPr>
            </w:r>
          </w:p>
        </w:tc>
      </w:tr>
      <w:tr>
        <w:tblPrEx>
          <w:tblBorders>
            <w:left w:val="nil"/>
            <w:right w:val="nil"/>
          </w:tblBorders>
        </w:tblPrEx>
        <w:tc>
          <w:tcPr>
            <w:gridSpan w:val="8"/>
            <w:tcW w:w="9010" w:type="dxa"/>
            <w:tcBorders>
              <w:left w:val="nil"/>
              <w:right w:val="nil"/>
            </w:tcBorders>
          </w:tcPr>
          <w:p>
            <w:pPr>
              <w:pStyle w:val="0"/>
              <w:ind w:firstLine="283"/>
              <w:jc w:val="both"/>
            </w:pPr>
            <w:r>
              <w:rPr>
                <w:sz w:val="20"/>
              </w:rPr>
              <w:t xml:space="preserve">2. Краткое описание проекта, цели и задачи реализации проекта.</w:t>
            </w:r>
          </w:p>
          <w:p>
            <w:pPr>
              <w:pStyle w:val="0"/>
              <w:ind w:firstLine="283"/>
              <w:jc w:val="both"/>
            </w:pPr>
            <w:r>
              <w:rPr>
                <w:sz w:val="20"/>
              </w:rPr>
              <w:t xml:space="preserve">2.1. Цели проекта.</w:t>
            </w:r>
          </w:p>
          <w:p>
            <w:pPr>
              <w:pStyle w:val="0"/>
              <w:ind w:firstLine="283"/>
              <w:jc w:val="both"/>
            </w:pPr>
            <w:r>
              <w:rPr>
                <w:sz w:val="20"/>
              </w:rPr>
              <w:t xml:space="preserve">2.2. Задачи проекта.</w:t>
            </w:r>
          </w:p>
          <w:p>
            <w:pPr>
              <w:pStyle w:val="0"/>
              <w:ind w:firstLine="283"/>
              <w:jc w:val="both"/>
            </w:pPr>
            <w:r>
              <w:rPr>
                <w:sz w:val="20"/>
              </w:rPr>
              <w:t xml:space="preserve">2.3. Перечень мероприятий (перечислить мероприятия, которые необходимо выполнить для реализации задач проекта). (Данный перечень должен совпадать с перечнем мероприятий, перечисленных в разделе 5 "Этапы реализации проекта".)</w:t>
            </w:r>
          </w:p>
          <w:p>
            <w:pPr>
              <w:pStyle w:val="0"/>
              <w:ind w:firstLine="283"/>
              <w:jc w:val="both"/>
            </w:pPr>
            <w:r>
              <w:rPr>
                <w:sz w:val="20"/>
              </w:rPr>
              <w:t xml:space="preserve">2.4. Срок реализации проекта (даты начала и окончания).</w:t>
            </w:r>
          </w:p>
          <w:p>
            <w:pPr>
              <w:pStyle w:val="0"/>
              <w:ind w:firstLine="283"/>
              <w:jc w:val="both"/>
            </w:pPr>
            <w:r>
              <w:rPr>
                <w:sz w:val="20"/>
              </w:rPr>
              <w:t xml:space="preserve">2.5. Краткое описание организационного процесса реализации проекта с указанием последующих сроков функционирования или эксплуатации при необходимости вложений в оборудование или услугу, описание приобретаемого оборудования с указанием количества, а также срока его полезного использования, ожидаемые результаты реализации проекта.</w:t>
            </w:r>
          </w:p>
          <w:p>
            <w:pPr>
              <w:pStyle w:val="0"/>
              <w:ind w:firstLine="283"/>
              <w:jc w:val="both"/>
            </w:pPr>
            <w:r>
              <w:rPr>
                <w:sz w:val="20"/>
              </w:rPr>
              <w:t xml:space="preserve">2.6. Краткое описание стратегии продвижения реализованного проекта.</w:t>
            </w:r>
          </w:p>
          <w:p>
            <w:pPr>
              <w:pStyle w:val="0"/>
              <w:ind w:firstLine="283"/>
              <w:jc w:val="both"/>
            </w:pPr>
            <w:r>
              <w:rPr>
                <w:sz w:val="20"/>
              </w:rPr>
              <w:t xml:space="preserve">2.7. Предполагаемое увеличение количества привлекаемых туристов в течение года, следующего за годом получения гранта, в соотношении с годом предыдущим.</w:t>
            </w:r>
          </w:p>
          <w:p>
            <w:pPr>
              <w:pStyle w:val="0"/>
              <w:ind w:firstLine="283"/>
              <w:jc w:val="both"/>
            </w:pPr>
            <w:r>
              <w:rPr>
                <w:sz w:val="20"/>
              </w:rPr>
              <w:t xml:space="preserve">2.8. Партнеры и (или) соисполнители (если применимо - с указанием опыта, компетенции и конкретных задач, к выполнению которых они привлекаются или будут привлекаться).</w:t>
            </w:r>
          </w:p>
          <w:p>
            <w:pPr>
              <w:pStyle w:val="0"/>
              <w:ind w:firstLine="283"/>
              <w:jc w:val="both"/>
            </w:pPr>
            <w:r>
              <w:rPr>
                <w:sz w:val="20"/>
              </w:rPr>
              <w:t xml:space="preserve">3. Сведения о руководителях, членах коллегиального исполнительного органа, лице, исполняющем функции единоличного исполнительного органа, или главных бухгалтерах (при наличии) участников отбора (фамилия, имя, отчество (при наличии)).</w:t>
            </w:r>
          </w:p>
          <w:p>
            <w:pPr>
              <w:pStyle w:val="0"/>
              <w:ind w:firstLine="283"/>
              <w:jc w:val="both"/>
            </w:pPr>
            <w:r>
              <w:rPr>
                <w:sz w:val="20"/>
              </w:rPr>
              <w:t xml:space="preserve">4. Информация о наличии у участника отбора опыта реализации проектов в туристской сфере.</w:t>
            </w:r>
          </w:p>
          <w:p>
            <w:pPr>
              <w:pStyle w:val="0"/>
              <w:ind w:firstLine="283"/>
              <w:jc w:val="both"/>
            </w:pPr>
            <w:r>
              <w:rPr>
                <w:sz w:val="20"/>
              </w:rPr>
              <w:t xml:space="preserve">5. Этапы реализации проекта.</w:t>
            </w:r>
          </w:p>
        </w:tc>
      </w:tr>
      <w:tr>
        <w:tc>
          <w:tcPr>
            <w:tcW w:w="629" w:type="dxa"/>
            <w:vAlign w:val="center"/>
          </w:tcPr>
          <w:p>
            <w:pPr>
              <w:pStyle w:val="0"/>
              <w:jc w:val="center"/>
            </w:pPr>
            <w:r>
              <w:rPr>
                <w:sz w:val="20"/>
              </w:rPr>
              <w:t xml:space="preserve">N п/п</w:t>
            </w:r>
          </w:p>
        </w:tc>
        <w:tc>
          <w:tcPr>
            <w:tcW w:w="1696" w:type="dxa"/>
            <w:vAlign w:val="center"/>
          </w:tcPr>
          <w:p>
            <w:pPr>
              <w:pStyle w:val="0"/>
              <w:jc w:val="center"/>
            </w:pPr>
            <w:r>
              <w:rPr>
                <w:sz w:val="20"/>
              </w:rPr>
              <w:t xml:space="preserve">Решаемая задача проекта</w:t>
            </w:r>
          </w:p>
        </w:tc>
        <w:tc>
          <w:tcPr>
            <w:gridSpan w:val="2"/>
            <w:tcW w:w="2974" w:type="dxa"/>
            <w:vAlign w:val="center"/>
          </w:tcPr>
          <w:p>
            <w:pPr>
              <w:pStyle w:val="0"/>
              <w:jc w:val="center"/>
            </w:pPr>
            <w:r>
              <w:rPr>
                <w:sz w:val="20"/>
              </w:rPr>
              <w:t xml:space="preserve">Мероприятие, направленное (мероприятия, направленные) на выполнение задачи проекта</w:t>
            </w:r>
          </w:p>
        </w:tc>
        <w:tc>
          <w:tcPr>
            <w:gridSpan w:val="2"/>
            <w:tcW w:w="1047" w:type="dxa"/>
            <w:vAlign w:val="center"/>
          </w:tcPr>
          <w:p>
            <w:pPr>
              <w:pStyle w:val="0"/>
              <w:jc w:val="center"/>
            </w:pPr>
            <w:r>
              <w:rPr>
                <w:sz w:val="20"/>
              </w:rPr>
              <w:t xml:space="preserve">Дата начала</w:t>
            </w:r>
          </w:p>
        </w:tc>
        <w:tc>
          <w:tcPr>
            <w:tcW w:w="1417" w:type="dxa"/>
            <w:vAlign w:val="center"/>
          </w:tcPr>
          <w:p>
            <w:pPr>
              <w:pStyle w:val="0"/>
              <w:jc w:val="center"/>
            </w:pPr>
            <w:r>
              <w:rPr>
                <w:sz w:val="20"/>
              </w:rPr>
              <w:t xml:space="preserve">Дата завершения</w:t>
            </w:r>
          </w:p>
        </w:tc>
        <w:tc>
          <w:tcPr>
            <w:tcW w:w="1247" w:type="dxa"/>
            <w:vAlign w:val="center"/>
          </w:tcPr>
          <w:p>
            <w:pPr>
              <w:pStyle w:val="0"/>
              <w:jc w:val="center"/>
            </w:pPr>
            <w:r>
              <w:rPr>
                <w:sz w:val="20"/>
              </w:rPr>
              <w:t xml:space="preserve">Ожидаемые итоги</w:t>
            </w:r>
          </w:p>
        </w:tc>
      </w:tr>
      <w:tr>
        <w:tc>
          <w:tcPr>
            <w:tcW w:w="629" w:type="dxa"/>
            <w:vAlign w:val="center"/>
          </w:tcPr>
          <w:p>
            <w:pPr>
              <w:pStyle w:val="0"/>
              <w:jc w:val="center"/>
            </w:pPr>
            <w:r>
              <w:rPr>
                <w:sz w:val="20"/>
              </w:rPr>
              <w:t xml:space="preserve">1</w:t>
            </w:r>
          </w:p>
        </w:tc>
        <w:tc>
          <w:tcPr>
            <w:tcW w:w="1696" w:type="dxa"/>
          </w:tcPr>
          <w:p>
            <w:pPr>
              <w:pStyle w:val="0"/>
            </w:pPr>
            <w:r>
              <w:rPr>
                <w:sz w:val="20"/>
              </w:rPr>
            </w:r>
          </w:p>
        </w:tc>
        <w:tc>
          <w:tcPr>
            <w:gridSpan w:val="2"/>
            <w:tcW w:w="2974" w:type="dxa"/>
          </w:tcPr>
          <w:p>
            <w:pPr>
              <w:pStyle w:val="0"/>
            </w:pPr>
            <w:r>
              <w:rPr>
                <w:sz w:val="20"/>
              </w:rPr>
            </w:r>
          </w:p>
        </w:tc>
        <w:tc>
          <w:tcPr>
            <w:gridSpan w:val="2"/>
            <w:tcW w:w="1047" w:type="dxa"/>
          </w:tcPr>
          <w:p>
            <w:pPr>
              <w:pStyle w:val="0"/>
            </w:pPr>
            <w:r>
              <w:rPr>
                <w:sz w:val="20"/>
              </w:rPr>
            </w:r>
          </w:p>
        </w:tc>
        <w:tc>
          <w:tcPr>
            <w:tcW w:w="1417" w:type="dxa"/>
          </w:tcPr>
          <w:p>
            <w:pPr>
              <w:pStyle w:val="0"/>
            </w:pPr>
            <w:r>
              <w:rPr>
                <w:sz w:val="20"/>
              </w:rPr>
            </w:r>
          </w:p>
        </w:tc>
        <w:tc>
          <w:tcPr>
            <w:tcW w:w="1247" w:type="dxa"/>
          </w:tcPr>
          <w:p>
            <w:pPr>
              <w:pStyle w:val="0"/>
            </w:pPr>
            <w:r>
              <w:rPr>
                <w:sz w:val="20"/>
              </w:rPr>
            </w:r>
          </w:p>
        </w:tc>
      </w:tr>
      <w:tr>
        <w:tc>
          <w:tcPr>
            <w:tcW w:w="629" w:type="dxa"/>
            <w:vAlign w:val="center"/>
          </w:tcPr>
          <w:p>
            <w:pPr>
              <w:pStyle w:val="0"/>
              <w:jc w:val="center"/>
            </w:pPr>
            <w:r>
              <w:rPr>
                <w:sz w:val="20"/>
              </w:rPr>
              <w:t xml:space="preserve">2</w:t>
            </w:r>
          </w:p>
        </w:tc>
        <w:tc>
          <w:tcPr>
            <w:tcW w:w="1696" w:type="dxa"/>
          </w:tcPr>
          <w:p>
            <w:pPr>
              <w:pStyle w:val="0"/>
            </w:pPr>
            <w:r>
              <w:rPr>
                <w:sz w:val="20"/>
              </w:rPr>
            </w:r>
          </w:p>
        </w:tc>
        <w:tc>
          <w:tcPr>
            <w:gridSpan w:val="2"/>
            <w:tcW w:w="2974" w:type="dxa"/>
          </w:tcPr>
          <w:p>
            <w:pPr>
              <w:pStyle w:val="0"/>
            </w:pPr>
            <w:r>
              <w:rPr>
                <w:sz w:val="20"/>
              </w:rPr>
            </w:r>
          </w:p>
        </w:tc>
        <w:tc>
          <w:tcPr>
            <w:gridSpan w:val="2"/>
            <w:tcW w:w="1047" w:type="dxa"/>
          </w:tcPr>
          <w:p>
            <w:pPr>
              <w:pStyle w:val="0"/>
            </w:pPr>
            <w:r>
              <w:rPr>
                <w:sz w:val="20"/>
              </w:rPr>
            </w:r>
          </w:p>
        </w:tc>
        <w:tc>
          <w:tcPr>
            <w:tcW w:w="1417" w:type="dxa"/>
          </w:tcPr>
          <w:p>
            <w:pPr>
              <w:pStyle w:val="0"/>
            </w:pPr>
            <w:r>
              <w:rPr>
                <w:sz w:val="20"/>
              </w:rPr>
            </w:r>
          </w:p>
        </w:tc>
        <w:tc>
          <w:tcPr>
            <w:tcW w:w="1247" w:type="dxa"/>
          </w:tcPr>
          <w:p>
            <w:pPr>
              <w:pStyle w:val="0"/>
            </w:pPr>
            <w:r>
              <w:rPr>
                <w:sz w:val="20"/>
              </w:rPr>
            </w:r>
          </w:p>
        </w:tc>
      </w:tr>
      <w:tr>
        <w:tc>
          <w:tcPr>
            <w:tcW w:w="629" w:type="dxa"/>
          </w:tcPr>
          <w:p>
            <w:pPr>
              <w:pStyle w:val="0"/>
              <w:jc w:val="center"/>
            </w:pPr>
            <w:r>
              <w:rPr>
                <w:sz w:val="20"/>
              </w:rPr>
              <w:t xml:space="preserve">3</w:t>
            </w:r>
          </w:p>
        </w:tc>
        <w:tc>
          <w:tcPr>
            <w:tcW w:w="1696" w:type="dxa"/>
          </w:tcPr>
          <w:p>
            <w:pPr>
              <w:pStyle w:val="0"/>
            </w:pPr>
            <w:r>
              <w:rPr>
                <w:sz w:val="20"/>
              </w:rPr>
            </w:r>
          </w:p>
        </w:tc>
        <w:tc>
          <w:tcPr>
            <w:gridSpan w:val="2"/>
            <w:tcW w:w="2974" w:type="dxa"/>
          </w:tcPr>
          <w:p>
            <w:pPr>
              <w:pStyle w:val="0"/>
            </w:pPr>
            <w:r>
              <w:rPr>
                <w:sz w:val="20"/>
              </w:rPr>
            </w:r>
          </w:p>
        </w:tc>
        <w:tc>
          <w:tcPr>
            <w:gridSpan w:val="2"/>
            <w:tcW w:w="1047" w:type="dxa"/>
          </w:tcPr>
          <w:p>
            <w:pPr>
              <w:pStyle w:val="0"/>
            </w:pPr>
            <w:r>
              <w:rPr>
                <w:sz w:val="20"/>
              </w:rPr>
            </w:r>
          </w:p>
        </w:tc>
        <w:tc>
          <w:tcPr>
            <w:tcW w:w="1417" w:type="dxa"/>
          </w:tcPr>
          <w:p>
            <w:pPr>
              <w:pStyle w:val="0"/>
            </w:pPr>
            <w:r>
              <w:rPr>
                <w:sz w:val="20"/>
              </w:rPr>
            </w:r>
          </w:p>
        </w:tc>
        <w:tc>
          <w:tcPr>
            <w:tcW w:w="1247" w:type="dxa"/>
          </w:tcPr>
          <w:p>
            <w:pPr>
              <w:pStyle w:val="0"/>
            </w:pPr>
            <w:r>
              <w:rPr>
                <w:sz w:val="20"/>
              </w:rPr>
            </w:r>
          </w:p>
        </w:tc>
      </w:tr>
      <w:tr>
        <w:tc>
          <w:tcPr>
            <w:tcW w:w="629" w:type="dxa"/>
          </w:tcPr>
          <w:p>
            <w:pPr>
              <w:pStyle w:val="0"/>
              <w:jc w:val="center"/>
            </w:pPr>
            <w:r>
              <w:rPr>
                <w:sz w:val="20"/>
              </w:rPr>
              <w:t xml:space="preserve">...</w:t>
            </w:r>
          </w:p>
        </w:tc>
        <w:tc>
          <w:tcPr>
            <w:tcW w:w="1696" w:type="dxa"/>
          </w:tcPr>
          <w:p>
            <w:pPr>
              <w:pStyle w:val="0"/>
            </w:pPr>
            <w:r>
              <w:rPr>
                <w:sz w:val="20"/>
              </w:rPr>
            </w:r>
          </w:p>
        </w:tc>
        <w:tc>
          <w:tcPr>
            <w:gridSpan w:val="2"/>
            <w:tcW w:w="2974" w:type="dxa"/>
          </w:tcPr>
          <w:p>
            <w:pPr>
              <w:pStyle w:val="0"/>
            </w:pPr>
            <w:r>
              <w:rPr>
                <w:sz w:val="20"/>
              </w:rPr>
            </w:r>
          </w:p>
        </w:tc>
        <w:tc>
          <w:tcPr>
            <w:gridSpan w:val="2"/>
            <w:tcW w:w="1047" w:type="dxa"/>
          </w:tcPr>
          <w:p>
            <w:pPr>
              <w:pStyle w:val="0"/>
            </w:pPr>
            <w:r>
              <w:rPr>
                <w:sz w:val="20"/>
              </w:rPr>
            </w:r>
          </w:p>
        </w:tc>
        <w:tc>
          <w:tcPr>
            <w:tcW w:w="1417" w:type="dxa"/>
          </w:tcPr>
          <w:p>
            <w:pPr>
              <w:pStyle w:val="0"/>
            </w:pPr>
            <w:r>
              <w:rPr>
                <w:sz w:val="20"/>
              </w:rPr>
            </w:r>
          </w:p>
        </w:tc>
        <w:tc>
          <w:tcPr>
            <w:tcW w:w="1247" w:type="dxa"/>
          </w:tcPr>
          <w:p>
            <w:pPr>
              <w:pStyle w:val="0"/>
            </w:pPr>
            <w:r>
              <w:rPr>
                <w:sz w:val="20"/>
              </w:rPr>
            </w:r>
          </w:p>
        </w:tc>
      </w:tr>
      <w:tr>
        <w:tblPrEx>
          <w:tblBorders>
            <w:left w:val="nil"/>
            <w:right w:val="nil"/>
          </w:tblBorders>
        </w:tblPrEx>
        <w:tc>
          <w:tcPr>
            <w:gridSpan w:val="8"/>
            <w:tcW w:w="9010" w:type="dxa"/>
            <w:tcBorders>
              <w:left w:val="nil"/>
              <w:right w:val="nil"/>
            </w:tcBorders>
          </w:tcPr>
          <w:p>
            <w:pPr>
              <w:pStyle w:val="0"/>
              <w:ind w:firstLine="283"/>
              <w:jc w:val="both"/>
            </w:pPr>
            <w:r>
              <w:rPr>
                <w:sz w:val="20"/>
              </w:rPr>
              <w:t xml:space="preserve">6. Обоснование необходимости финансового обеспечения расходов, связанных с реализацией проекта (размера запрашиваемого гранта).</w:t>
            </w:r>
          </w:p>
          <w:p>
            <w:pPr>
              <w:pStyle w:val="0"/>
              <w:ind w:firstLine="283"/>
              <w:jc w:val="both"/>
            </w:pPr>
            <w:r>
              <w:rPr>
                <w:sz w:val="20"/>
              </w:rPr>
              <w:t xml:space="preserve">7. Направления расходов на реализацию проекта.</w:t>
            </w:r>
          </w:p>
          <w:p>
            <w:pPr>
              <w:pStyle w:val="0"/>
              <w:ind w:firstLine="283"/>
              <w:jc w:val="both"/>
            </w:pPr>
            <w:r>
              <w:rPr>
                <w:sz w:val="20"/>
              </w:rPr>
              <w:t xml:space="preserve">7.1. Планируемые (предполагаемые) расходы в рамках реализации проекта за счет средств гранта в соответствии с </w:t>
            </w:r>
            <w:hyperlink w:history="0" w:anchor="P269" w:tooltip="3.1. Грант предоставляется в целях финансового обеспечения затрат на мероприятия, связанные с реализацией общественных инициатив и проектов, направленных на развитие туристской инфраструктуры, по следующим направлениям расходов:">
              <w:r>
                <w:rPr>
                  <w:sz w:val="20"/>
                  <w:color w:val="0000ff"/>
                </w:rPr>
                <w:t xml:space="preserve">пунктом 3.1</w:t>
              </w:r>
            </w:hyperlink>
            <w:r>
              <w:rPr>
                <w:sz w:val="20"/>
              </w:rPr>
              <w:t xml:space="preserve"> Порядка предоставления грантов в форме субсидий на поддержку общественных инициатив и проектов, направленных на развитие туристской инфраструктуры, в соответствии с государственной программой Воронежской области "Развитие культуры и туризма", утвержденного постановлением Правительства Воронежской области от ____________ N ________ (далее - Порядок):</w:t>
            </w:r>
          </w:p>
        </w:tc>
      </w:tr>
      <w:tr>
        <w:tc>
          <w:tcPr>
            <w:tcW w:w="629" w:type="dxa"/>
          </w:tcPr>
          <w:p>
            <w:pPr>
              <w:pStyle w:val="0"/>
              <w:jc w:val="center"/>
            </w:pPr>
            <w:r>
              <w:rPr>
                <w:sz w:val="20"/>
              </w:rPr>
              <w:t xml:space="preserve">N п/п</w:t>
            </w:r>
          </w:p>
        </w:tc>
        <w:tc>
          <w:tcPr>
            <w:gridSpan w:val="5"/>
            <w:tcW w:w="5717" w:type="dxa"/>
          </w:tcPr>
          <w:p>
            <w:pPr>
              <w:pStyle w:val="0"/>
              <w:jc w:val="center"/>
            </w:pPr>
            <w:r>
              <w:rPr>
                <w:sz w:val="20"/>
              </w:rPr>
              <w:t xml:space="preserve">Наименование расходов</w:t>
            </w:r>
          </w:p>
        </w:tc>
        <w:tc>
          <w:tcPr>
            <w:gridSpan w:val="2"/>
            <w:tcW w:w="2664" w:type="dxa"/>
          </w:tcPr>
          <w:p>
            <w:pPr>
              <w:pStyle w:val="0"/>
              <w:jc w:val="center"/>
            </w:pPr>
            <w:r>
              <w:rPr>
                <w:sz w:val="20"/>
              </w:rPr>
              <w:t xml:space="preserve">Стоимость (рублей)</w:t>
            </w:r>
          </w:p>
        </w:tc>
      </w:tr>
      <w:tr>
        <w:tc>
          <w:tcPr>
            <w:tcW w:w="629" w:type="dxa"/>
          </w:tcPr>
          <w:p>
            <w:pPr>
              <w:pStyle w:val="0"/>
              <w:jc w:val="center"/>
            </w:pPr>
            <w:r>
              <w:rPr>
                <w:sz w:val="20"/>
              </w:rPr>
              <w:t xml:space="preserve">1</w:t>
            </w:r>
          </w:p>
        </w:tc>
        <w:tc>
          <w:tcPr>
            <w:gridSpan w:val="5"/>
            <w:tcW w:w="5717" w:type="dxa"/>
          </w:tcPr>
          <w:p>
            <w:pPr>
              <w:pStyle w:val="0"/>
            </w:pPr>
            <w:r>
              <w:rPr>
                <w:sz w:val="20"/>
              </w:rPr>
            </w:r>
          </w:p>
        </w:tc>
        <w:tc>
          <w:tcPr>
            <w:gridSpan w:val="2"/>
            <w:tcW w:w="2664" w:type="dxa"/>
          </w:tcPr>
          <w:p>
            <w:pPr>
              <w:pStyle w:val="0"/>
            </w:pPr>
            <w:r>
              <w:rPr>
                <w:sz w:val="20"/>
              </w:rPr>
            </w:r>
          </w:p>
        </w:tc>
      </w:tr>
      <w:tr>
        <w:tc>
          <w:tcPr>
            <w:tcW w:w="629" w:type="dxa"/>
          </w:tcPr>
          <w:p>
            <w:pPr>
              <w:pStyle w:val="0"/>
              <w:jc w:val="center"/>
            </w:pPr>
            <w:r>
              <w:rPr>
                <w:sz w:val="20"/>
              </w:rPr>
              <w:t xml:space="preserve">2</w:t>
            </w:r>
          </w:p>
        </w:tc>
        <w:tc>
          <w:tcPr>
            <w:gridSpan w:val="5"/>
            <w:tcW w:w="5717" w:type="dxa"/>
          </w:tcPr>
          <w:p>
            <w:pPr>
              <w:pStyle w:val="0"/>
            </w:pPr>
            <w:r>
              <w:rPr>
                <w:sz w:val="20"/>
              </w:rPr>
            </w:r>
          </w:p>
        </w:tc>
        <w:tc>
          <w:tcPr>
            <w:gridSpan w:val="2"/>
            <w:tcW w:w="2664" w:type="dxa"/>
          </w:tcPr>
          <w:p>
            <w:pPr>
              <w:pStyle w:val="0"/>
            </w:pPr>
            <w:r>
              <w:rPr>
                <w:sz w:val="20"/>
              </w:rPr>
            </w:r>
          </w:p>
        </w:tc>
      </w:tr>
      <w:tr>
        <w:tc>
          <w:tcPr>
            <w:tcW w:w="629" w:type="dxa"/>
          </w:tcPr>
          <w:p>
            <w:pPr>
              <w:pStyle w:val="0"/>
              <w:jc w:val="center"/>
            </w:pPr>
            <w:r>
              <w:rPr>
                <w:sz w:val="20"/>
              </w:rPr>
              <w:t xml:space="preserve">...</w:t>
            </w:r>
          </w:p>
        </w:tc>
        <w:tc>
          <w:tcPr>
            <w:gridSpan w:val="5"/>
            <w:tcW w:w="5717" w:type="dxa"/>
          </w:tcPr>
          <w:p>
            <w:pPr>
              <w:pStyle w:val="0"/>
            </w:pPr>
            <w:r>
              <w:rPr>
                <w:sz w:val="20"/>
              </w:rPr>
            </w:r>
          </w:p>
        </w:tc>
        <w:tc>
          <w:tcPr>
            <w:gridSpan w:val="2"/>
            <w:tcW w:w="2664" w:type="dxa"/>
          </w:tcPr>
          <w:p>
            <w:pPr>
              <w:pStyle w:val="0"/>
            </w:pPr>
            <w:r>
              <w:rPr>
                <w:sz w:val="20"/>
              </w:rPr>
            </w:r>
          </w:p>
        </w:tc>
      </w:tr>
      <w:tr>
        <w:tc>
          <w:tcPr>
            <w:gridSpan w:val="6"/>
            <w:tcW w:w="6346" w:type="dxa"/>
          </w:tcPr>
          <w:p>
            <w:pPr>
              <w:pStyle w:val="0"/>
            </w:pPr>
            <w:r>
              <w:rPr>
                <w:sz w:val="20"/>
              </w:rPr>
              <w:t xml:space="preserve">Итого</w:t>
            </w:r>
          </w:p>
        </w:tc>
        <w:tc>
          <w:tcPr>
            <w:gridSpan w:val="2"/>
            <w:tcW w:w="2664" w:type="dxa"/>
          </w:tcPr>
          <w:p>
            <w:pPr>
              <w:pStyle w:val="0"/>
            </w:pPr>
            <w:r>
              <w:rPr>
                <w:sz w:val="20"/>
              </w:rPr>
            </w:r>
          </w:p>
        </w:tc>
      </w:tr>
      <w:tr>
        <w:tblPrEx>
          <w:tblBorders>
            <w:left w:val="nil"/>
            <w:right w:val="nil"/>
          </w:tblBorders>
        </w:tblPrEx>
        <w:tc>
          <w:tcPr>
            <w:gridSpan w:val="8"/>
            <w:tcW w:w="9010" w:type="dxa"/>
            <w:tcBorders>
              <w:left w:val="nil"/>
              <w:right w:val="nil"/>
            </w:tcBorders>
          </w:tcPr>
          <w:p>
            <w:pPr>
              <w:pStyle w:val="0"/>
              <w:ind w:firstLine="283"/>
              <w:jc w:val="both"/>
            </w:pPr>
            <w:r>
              <w:rPr>
                <w:sz w:val="20"/>
              </w:rPr>
              <w:t xml:space="preserve">7.2. Планируемые (предполагаемые) расходы, связанные с осуществлением проекта, в размере не менее 30% от размера гранта за счет собственных средств (софинансирование) в соответствии с </w:t>
            </w:r>
            <w:hyperlink w:history="0" w:anchor="P269" w:tooltip="3.1. Грант предоставляется в целях финансового обеспечения затрат на мероприятия, связанные с реализацией общественных инициатив и проектов, направленных на развитие туристской инфраструктуры, по следующим направлениям расходов:">
              <w:r>
                <w:rPr>
                  <w:sz w:val="20"/>
                  <w:color w:val="0000ff"/>
                </w:rPr>
                <w:t xml:space="preserve">пунктом 3.1</w:t>
              </w:r>
            </w:hyperlink>
            <w:r>
              <w:rPr>
                <w:sz w:val="20"/>
              </w:rPr>
              <w:t xml:space="preserve"> Порядка:</w:t>
            </w:r>
          </w:p>
        </w:tc>
      </w:tr>
      <w:tr>
        <w:tc>
          <w:tcPr>
            <w:tcW w:w="629" w:type="dxa"/>
          </w:tcPr>
          <w:p>
            <w:pPr>
              <w:pStyle w:val="0"/>
              <w:jc w:val="center"/>
            </w:pPr>
            <w:r>
              <w:rPr>
                <w:sz w:val="20"/>
              </w:rPr>
              <w:t xml:space="preserve">N п/п</w:t>
            </w:r>
          </w:p>
        </w:tc>
        <w:tc>
          <w:tcPr>
            <w:gridSpan w:val="5"/>
            <w:tcW w:w="5717" w:type="dxa"/>
          </w:tcPr>
          <w:p>
            <w:pPr>
              <w:pStyle w:val="0"/>
              <w:jc w:val="center"/>
            </w:pPr>
            <w:r>
              <w:rPr>
                <w:sz w:val="20"/>
              </w:rPr>
              <w:t xml:space="preserve">Наименование расходов</w:t>
            </w:r>
          </w:p>
        </w:tc>
        <w:tc>
          <w:tcPr>
            <w:gridSpan w:val="2"/>
            <w:tcW w:w="2664" w:type="dxa"/>
          </w:tcPr>
          <w:p>
            <w:pPr>
              <w:pStyle w:val="0"/>
              <w:jc w:val="center"/>
            </w:pPr>
            <w:r>
              <w:rPr>
                <w:sz w:val="20"/>
              </w:rPr>
              <w:t xml:space="preserve">Стоимость (рублей)</w:t>
            </w:r>
          </w:p>
        </w:tc>
      </w:tr>
      <w:tr>
        <w:tc>
          <w:tcPr>
            <w:tcW w:w="629" w:type="dxa"/>
          </w:tcPr>
          <w:p>
            <w:pPr>
              <w:pStyle w:val="0"/>
              <w:jc w:val="center"/>
            </w:pPr>
            <w:r>
              <w:rPr>
                <w:sz w:val="20"/>
              </w:rPr>
              <w:t xml:space="preserve">1</w:t>
            </w:r>
          </w:p>
        </w:tc>
        <w:tc>
          <w:tcPr>
            <w:gridSpan w:val="5"/>
            <w:tcW w:w="5717" w:type="dxa"/>
          </w:tcPr>
          <w:p>
            <w:pPr>
              <w:pStyle w:val="0"/>
            </w:pPr>
            <w:r>
              <w:rPr>
                <w:sz w:val="20"/>
              </w:rPr>
            </w:r>
          </w:p>
        </w:tc>
        <w:tc>
          <w:tcPr>
            <w:gridSpan w:val="2"/>
            <w:tcW w:w="2664" w:type="dxa"/>
          </w:tcPr>
          <w:p>
            <w:pPr>
              <w:pStyle w:val="0"/>
            </w:pPr>
            <w:r>
              <w:rPr>
                <w:sz w:val="20"/>
              </w:rPr>
            </w:r>
          </w:p>
        </w:tc>
      </w:tr>
      <w:tr>
        <w:tc>
          <w:tcPr>
            <w:tcW w:w="629" w:type="dxa"/>
          </w:tcPr>
          <w:p>
            <w:pPr>
              <w:pStyle w:val="0"/>
              <w:jc w:val="center"/>
            </w:pPr>
            <w:r>
              <w:rPr>
                <w:sz w:val="20"/>
              </w:rPr>
              <w:t xml:space="preserve">2</w:t>
            </w:r>
          </w:p>
        </w:tc>
        <w:tc>
          <w:tcPr>
            <w:gridSpan w:val="5"/>
            <w:tcW w:w="5717" w:type="dxa"/>
          </w:tcPr>
          <w:p>
            <w:pPr>
              <w:pStyle w:val="0"/>
            </w:pPr>
            <w:r>
              <w:rPr>
                <w:sz w:val="20"/>
              </w:rPr>
            </w:r>
          </w:p>
        </w:tc>
        <w:tc>
          <w:tcPr>
            <w:gridSpan w:val="2"/>
            <w:tcW w:w="2664" w:type="dxa"/>
          </w:tcPr>
          <w:p>
            <w:pPr>
              <w:pStyle w:val="0"/>
            </w:pPr>
            <w:r>
              <w:rPr>
                <w:sz w:val="20"/>
              </w:rPr>
            </w:r>
          </w:p>
        </w:tc>
      </w:tr>
      <w:tr>
        <w:tc>
          <w:tcPr>
            <w:tcW w:w="629" w:type="dxa"/>
          </w:tcPr>
          <w:p>
            <w:pPr>
              <w:pStyle w:val="0"/>
              <w:jc w:val="center"/>
            </w:pPr>
            <w:r>
              <w:rPr>
                <w:sz w:val="20"/>
              </w:rPr>
              <w:t xml:space="preserve">...</w:t>
            </w:r>
          </w:p>
        </w:tc>
        <w:tc>
          <w:tcPr>
            <w:gridSpan w:val="5"/>
            <w:tcW w:w="5717" w:type="dxa"/>
          </w:tcPr>
          <w:p>
            <w:pPr>
              <w:pStyle w:val="0"/>
            </w:pPr>
            <w:r>
              <w:rPr>
                <w:sz w:val="20"/>
              </w:rPr>
            </w:r>
          </w:p>
        </w:tc>
        <w:tc>
          <w:tcPr>
            <w:gridSpan w:val="2"/>
            <w:tcW w:w="2664" w:type="dxa"/>
          </w:tcPr>
          <w:p>
            <w:pPr>
              <w:pStyle w:val="0"/>
            </w:pPr>
            <w:r>
              <w:rPr>
                <w:sz w:val="20"/>
              </w:rPr>
            </w:r>
          </w:p>
        </w:tc>
      </w:tr>
      <w:tr>
        <w:tc>
          <w:tcPr>
            <w:gridSpan w:val="6"/>
            <w:tcW w:w="6346" w:type="dxa"/>
          </w:tcPr>
          <w:p>
            <w:pPr>
              <w:pStyle w:val="0"/>
            </w:pPr>
            <w:r>
              <w:rPr>
                <w:sz w:val="20"/>
              </w:rPr>
              <w:t xml:space="preserve">Итого</w:t>
            </w:r>
          </w:p>
        </w:tc>
        <w:tc>
          <w:tcPr>
            <w:gridSpan w:val="2"/>
            <w:tcW w:w="2664" w:type="dxa"/>
          </w:tcPr>
          <w:p>
            <w:pPr>
              <w:pStyle w:val="0"/>
            </w:pPr>
            <w:r>
              <w:rPr>
                <w:sz w:val="20"/>
              </w:rPr>
            </w:r>
          </w:p>
        </w:tc>
      </w:tr>
      <w:tr>
        <w:tblPrEx>
          <w:tblBorders>
            <w:left w:val="nil"/>
            <w:right w:val="nil"/>
            <w:insideH w:val="nil"/>
          </w:tblBorders>
        </w:tblPrEx>
        <w:tc>
          <w:tcPr>
            <w:gridSpan w:val="8"/>
            <w:tcW w:w="9010" w:type="dxa"/>
            <w:tcBorders>
              <w:left w:val="nil"/>
              <w:bottom w:val="nil"/>
              <w:right w:val="nil"/>
            </w:tcBorders>
          </w:tcPr>
          <w:p>
            <w:pPr>
              <w:pStyle w:val="0"/>
              <w:ind w:firstLine="283"/>
              <w:jc w:val="both"/>
            </w:pPr>
            <w:r>
              <w:rPr>
                <w:sz w:val="20"/>
              </w:rPr>
              <w:t xml:space="preserve">8. Наличие у участника отбора действующих сайта в информационно-телекоммуникационной сети "Интернет", аккаунтов в социальных сетях (указываются ссылки на сайты, аккаунты в социальных сетях).</w:t>
            </w:r>
          </w:p>
          <w:p>
            <w:pPr>
              <w:pStyle w:val="0"/>
              <w:ind w:firstLine="283"/>
              <w:jc w:val="both"/>
            </w:pPr>
            <w:r>
              <w:rPr>
                <w:sz w:val="20"/>
              </w:rPr>
              <w:t xml:space="preserve">9. Дополнительная информация *: _____________________________.</w:t>
            </w:r>
          </w:p>
        </w:tc>
      </w:tr>
      <w:tr>
        <w:tblPrEx>
          <w:tblBorders>
            <w:left w:val="nil"/>
            <w:right w:val="nil"/>
            <w:insideV w:val="nil"/>
            <w:insideH w:val="nil"/>
          </w:tblBorders>
        </w:tblPrEx>
        <w:tc>
          <w:tcPr>
            <w:gridSpan w:val="3"/>
            <w:tcW w:w="4195" w:type="dxa"/>
            <w:tcBorders>
              <w:top w:val="nil"/>
              <w:bottom w:val="nil"/>
            </w:tcBorders>
          </w:tcPr>
          <w:p>
            <w:pPr>
              <w:pStyle w:val="0"/>
            </w:pPr>
            <w:r>
              <w:rPr>
                <w:sz w:val="20"/>
              </w:rPr>
              <w:t xml:space="preserve">Руководитель участника отбора</w:t>
            </w:r>
          </w:p>
        </w:tc>
        <w:tc>
          <w:tcPr>
            <w:gridSpan w:val="2"/>
            <w:tcW w:w="1784" w:type="dxa"/>
            <w:tcBorders>
              <w:top w:val="nil"/>
              <w:bottom w:val="nil"/>
            </w:tcBorders>
          </w:tcPr>
          <w:p>
            <w:pPr>
              <w:pStyle w:val="0"/>
              <w:jc w:val="center"/>
            </w:pPr>
            <w:r>
              <w:rPr>
                <w:sz w:val="20"/>
              </w:rPr>
              <w:t xml:space="preserve">___________</w:t>
            </w:r>
          </w:p>
          <w:p>
            <w:pPr>
              <w:pStyle w:val="0"/>
              <w:jc w:val="center"/>
            </w:pPr>
            <w:r>
              <w:rPr>
                <w:sz w:val="20"/>
              </w:rPr>
              <w:t xml:space="preserve">(подпись)</w:t>
            </w:r>
          </w:p>
        </w:tc>
        <w:tc>
          <w:tcPr>
            <w:gridSpan w:val="3"/>
            <w:tcW w:w="3031" w:type="dxa"/>
            <w:tcBorders>
              <w:top w:val="nil"/>
              <w:bottom w:val="nil"/>
            </w:tcBorders>
          </w:tcPr>
          <w:p>
            <w:pPr>
              <w:pStyle w:val="0"/>
              <w:jc w:val="center"/>
            </w:pPr>
            <w:r>
              <w:rPr>
                <w:sz w:val="20"/>
              </w:rPr>
              <w:t xml:space="preserve">_____________________</w:t>
            </w:r>
          </w:p>
          <w:p>
            <w:pPr>
              <w:pStyle w:val="0"/>
              <w:jc w:val="center"/>
            </w:pPr>
            <w:r>
              <w:rPr>
                <w:sz w:val="20"/>
              </w:rPr>
              <w:t xml:space="preserve">(фамилия, имя, отчество</w:t>
            </w:r>
          </w:p>
          <w:p>
            <w:pPr>
              <w:pStyle w:val="0"/>
              <w:jc w:val="center"/>
            </w:pPr>
            <w:r>
              <w:rPr>
                <w:sz w:val="20"/>
              </w:rPr>
              <w:t xml:space="preserve">(при наличии))</w:t>
            </w:r>
          </w:p>
        </w:tc>
      </w:tr>
      <w:tr>
        <w:tblPrEx>
          <w:tblBorders>
            <w:left w:val="nil"/>
            <w:right w:val="nil"/>
            <w:insideH w:val="nil"/>
          </w:tblBorders>
        </w:tblPrEx>
        <w:tc>
          <w:tcPr>
            <w:gridSpan w:val="8"/>
            <w:tcW w:w="9010" w:type="dxa"/>
            <w:tcBorders>
              <w:top w:val="nil"/>
              <w:left w:val="nil"/>
              <w:bottom w:val="nil"/>
              <w:right w:val="nil"/>
            </w:tcBorders>
          </w:tcPr>
          <w:p>
            <w:pPr>
              <w:pStyle w:val="0"/>
            </w:pPr>
            <w:r>
              <w:rPr>
                <w:sz w:val="20"/>
              </w:rPr>
              <w:t xml:space="preserve">Дата ________________</w:t>
            </w:r>
          </w:p>
        </w:tc>
      </w:tr>
      <w:tr>
        <w:tblPrEx>
          <w:tblBorders>
            <w:left w:val="nil"/>
            <w:right w:val="nil"/>
            <w:insideH w:val="nil"/>
          </w:tblBorders>
        </w:tblPrEx>
        <w:tc>
          <w:tcPr>
            <w:gridSpan w:val="8"/>
            <w:tcW w:w="9010" w:type="dxa"/>
            <w:tcBorders>
              <w:top w:val="nil"/>
              <w:left w:val="nil"/>
              <w:bottom w:val="nil"/>
              <w:right w:val="nil"/>
            </w:tcBorders>
          </w:tcPr>
          <w:p>
            <w:pPr>
              <w:pStyle w:val="0"/>
              <w:ind w:firstLine="283"/>
              <w:jc w:val="both"/>
            </w:pPr>
            <w:r>
              <w:rPr>
                <w:sz w:val="20"/>
              </w:rPr>
              <w:t xml:space="preserve">МП (при наличии)</w:t>
            </w:r>
          </w:p>
        </w:tc>
      </w:tr>
      <w:tr>
        <w:tblPrEx>
          <w:tblBorders>
            <w:left w:val="nil"/>
            <w:right w:val="nil"/>
            <w:insideH w:val="nil"/>
          </w:tblBorders>
        </w:tblPrEx>
        <w:tc>
          <w:tcPr>
            <w:gridSpan w:val="8"/>
            <w:tcW w:w="9010" w:type="dxa"/>
            <w:tcBorders>
              <w:top w:val="nil"/>
              <w:left w:val="nil"/>
              <w:bottom w:val="nil"/>
              <w:right w:val="nil"/>
            </w:tcBorders>
          </w:tcPr>
          <w:p>
            <w:pPr>
              <w:pStyle w:val="0"/>
              <w:jc w:val="both"/>
              <w:pBdr>
                <w:bottom w:val="single" w:sz="6" w:space="0" w:color="auto"/>
              </w:pBdr>
              <w:spacing w:before="100" w:after="100"/>
              <w:rPr>
                <w:sz w:val="2"/>
                <w:szCs w:val="2"/>
              </w:rPr>
            </w:pPr>
          </w:p>
          <w:p>
            <w:pPr>
              <w:pStyle w:val="0"/>
              <w:jc w:val="both"/>
            </w:pPr>
            <w:r>
              <w:rPr>
                <w:sz w:val="20"/>
              </w:rPr>
              <w:t xml:space="preserve">* Предоставление дополнительной информации о реализуемом проекте (при наличии).</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Воронежской обл. от 18.08.2025 N 539</w:t>
            <w:br/>
            <w:t>"Об утверждении Порядка предоставления грантов в форме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171" TargetMode = "External"/><Relationship Id="rId9" Type="http://schemas.openxmlformats.org/officeDocument/2006/relationships/hyperlink" Target="https://login.consultant.ru/link/?req=doc&amp;base=LAW&amp;n=522972&amp;dst=100020" TargetMode = "External"/><Relationship Id="rId10" Type="http://schemas.openxmlformats.org/officeDocument/2006/relationships/hyperlink" Target="https://login.consultant.ru/link/?req=doc&amp;base=RLAW181&amp;n=134276&amp;dst=2" TargetMode = "External"/><Relationship Id="rId11" Type="http://schemas.openxmlformats.org/officeDocument/2006/relationships/hyperlink" Target="https://login.consultant.ru/link/?req=doc&amp;base=LAW&amp;n=515590&amp;dst=100307" TargetMode = "External"/><Relationship Id="rId12" Type="http://schemas.openxmlformats.org/officeDocument/2006/relationships/hyperlink" Target="https://login.consultant.ru/link/?req=doc&amp;base=LAW&amp;n=121087&amp;dst=100142" TargetMode = "External"/><Relationship Id="rId13" Type="http://schemas.openxmlformats.org/officeDocument/2006/relationships/hyperlink" Target="https://login.consultant.ru/link/?req=doc&amp;base=LAW&amp;n=503698" TargetMode = "External"/><Relationship Id="rId14" Type="http://schemas.openxmlformats.org/officeDocument/2006/relationships/hyperlink" Target="https://login.consultant.ru/link/?req=doc&amp;base=LAW&amp;n=520119&amp;dst=5769" TargetMode = "External"/><Relationship Id="rId15" Type="http://schemas.openxmlformats.org/officeDocument/2006/relationships/hyperlink" Target="https://login.consultant.ru/link/?req=doc&amp;base=RLAW181&amp;n=123265&amp;dst=50" TargetMode = "External"/><Relationship Id="rId16" Type="http://schemas.openxmlformats.org/officeDocument/2006/relationships/hyperlink" Target="https://login.consultant.ru/link/?req=doc&amp;base=LAW&amp;n=518477" TargetMode = "External"/><Relationship Id="rId17" Type="http://schemas.openxmlformats.org/officeDocument/2006/relationships/hyperlink" Target="https://login.consultant.ru/link/?req=doc&amp;base=LAW&amp;n=518477" TargetMode = "External"/><Relationship Id="rId18" Type="http://schemas.openxmlformats.org/officeDocument/2006/relationships/hyperlink" Target="https://login.consultant.ru/link/?req=doc&amp;base=LAW&amp;n=496142" TargetMode = "External"/><Relationship Id="rId19" Type="http://schemas.openxmlformats.org/officeDocument/2006/relationships/hyperlink" Target="https://login.consultant.ru/link/?req=doc&amp;base=LAW&amp;n=518477" TargetMode = "External"/><Relationship Id="rId20" Type="http://schemas.openxmlformats.org/officeDocument/2006/relationships/hyperlink" Target="https://login.consultant.ru/link/?req=doc&amp;base=LAW&amp;n=518477" TargetMode = "External"/><Relationship Id="rId21" Type="http://schemas.openxmlformats.org/officeDocument/2006/relationships/hyperlink" Target="https://login.consultant.ru/link/?req=doc&amp;base=LAW&amp;n=518477" TargetMode = "External"/><Relationship Id="rId22" Type="http://schemas.openxmlformats.org/officeDocument/2006/relationships/hyperlink" Target="https://login.consultant.ru/link/?req=doc&amp;base=RLAW181&amp;n=129546&amp;dst=100071" TargetMode = "External"/><Relationship Id="rId23" Type="http://schemas.openxmlformats.org/officeDocument/2006/relationships/image" Target="media/image2.wmf"/><Relationship Id="rId24" Type="http://schemas.openxmlformats.org/officeDocument/2006/relationships/hyperlink" Target="https://login.consultant.ru/link/?req=doc&amp;base=LAW&amp;n=507535&amp;dst=1327" TargetMode = "External"/><Relationship Id="rId25" Type="http://schemas.openxmlformats.org/officeDocument/2006/relationships/hyperlink" Target="https://login.consultant.ru/link/?req=doc&amp;base=LAW&amp;n=268196" TargetMode = "External"/><Relationship Id="rId26" Type="http://schemas.openxmlformats.org/officeDocument/2006/relationships/image" Target="media/image3.wmf"/><Relationship Id="rId27" Type="http://schemas.openxmlformats.org/officeDocument/2006/relationships/hyperlink" Target="https://login.consultant.ru/link/?req=doc&amp;base=LAW&amp;n=520154&amp;dst=3704" TargetMode = "External"/><Relationship Id="rId28" Type="http://schemas.openxmlformats.org/officeDocument/2006/relationships/hyperlink" Target="https://login.consultant.ru/link/?req=doc&amp;base=LAW&amp;n=520154&amp;dst=3722" TargetMode = "External"/><Relationship Id="rId29" Type="http://schemas.openxmlformats.org/officeDocument/2006/relationships/hyperlink" Target="https://login.consultant.ru/link/?req=doc&amp;base=LAW&amp;n=508490&amp;dst=217" TargetMode = "External"/><Relationship Id="rId30" Type="http://schemas.openxmlformats.org/officeDocument/2006/relationships/hyperlink" Target="https://login.consultant.ru/link/?req=doc&amp;base=LAW&amp;n=508490&amp;dst=217" TargetMode = "External"/><Relationship Id="rId31" Type="http://schemas.openxmlformats.org/officeDocument/2006/relationships/hyperlink" Target="https://login.consultant.ru/link/?req=doc&amp;base=LAW&amp;n=511356&amp;dst=73" TargetMode = "External"/><Relationship Id="rId32" Type="http://schemas.openxmlformats.org/officeDocument/2006/relationships/hyperlink" Target="https://login.consultant.ru/link/?req=doc&amp;base=LAW&amp;n=494637&amp;dst=100058" TargetMode = "External"/><Relationship Id="rId33" Type="http://schemas.openxmlformats.org/officeDocument/2006/relationships/hyperlink" Target="https://login.consultant.ru/link/?req=doc&amp;base=LAW&amp;n=520154&amp;dst=3704" TargetMode = "External"/><Relationship Id="rId34" Type="http://schemas.openxmlformats.org/officeDocument/2006/relationships/hyperlink" Target="https://login.consultant.ru/link/?req=doc&amp;base=LAW&amp;n=520154&amp;dst=3722" TargetMode = "External"/><Relationship Id="rId35" Type="http://schemas.openxmlformats.org/officeDocument/2006/relationships/hyperlink" Target="https://login.consultant.ru/link/?req=doc&amp;base=LAW&amp;n=520154&amp;dst=3704" TargetMode = "External"/><Relationship Id="rId36" Type="http://schemas.openxmlformats.org/officeDocument/2006/relationships/hyperlink" Target="https://login.consultant.ru/link/?req=doc&amp;base=LAW&amp;n=520154&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Воронежской обл. от 18.08.2025 N 539
"Об утверждении Порядка предоставления грантов в форме субсидий на поддержку общественных инициатив и проектов, направленных на развитие туристской инфраструктуры, в соответствии с государственной программой Воронежской области "Развитие культуры и туризма"</dc:title>
  <dcterms:created xsi:type="dcterms:W3CDTF">2026-01-08T11:43:04Z</dcterms:created>
</cp:coreProperties>
</file>