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Воронежской обл. от 20.08.2025 N 547</w:t>
              <w:br/>
              <w:t xml:space="preserve">"Об утверждении Порядка предоставления гранта в форме субсидии на развитие деятельности негосударственных организаций в сфере театрального искусства Воронежской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ВОРОНЕЖСКОЙ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20 августа 2025 г. N 547</w:t>
      </w:r>
    </w:p>
    <w:p>
      <w:pPr>
        <w:pStyle w:val="2"/>
        <w:jc w:val="center"/>
      </w:pPr>
      <w:r>
        <w:rPr>
          <w:sz w:val="20"/>
        </w:rPr>
      </w:r>
    </w:p>
    <w:p>
      <w:pPr>
        <w:pStyle w:val="2"/>
        <w:jc w:val="center"/>
      </w:pPr>
      <w:r>
        <w:rPr>
          <w:sz w:val="20"/>
        </w:rPr>
        <w:t xml:space="preserve">ОБ УТВЕРЖДЕНИИ ПОРЯДКА ПРЕДОСТАВЛЕНИЯ ГРАНТА</w:t>
      </w:r>
    </w:p>
    <w:p>
      <w:pPr>
        <w:pStyle w:val="2"/>
        <w:jc w:val="center"/>
      </w:pPr>
      <w:r>
        <w:rPr>
          <w:sz w:val="20"/>
        </w:rPr>
        <w:t xml:space="preserve">В ФОРМЕ СУБСИДИИ НА РАЗВИТИЕ ДЕЯТЕЛЬНОСТИ</w:t>
      </w:r>
    </w:p>
    <w:p>
      <w:pPr>
        <w:pStyle w:val="2"/>
        <w:jc w:val="center"/>
      </w:pPr>
      <w:r>
        <w:rPr>
          <w:sz w:val="20"/>
        </w:rPr>
        <w:t xml:space="preserve">НЕГОСУДАРСТВЕННЫХ ОРГАНИЗАЦИЙ В СФЕРЕ</w:t>
      </w:r>
    </w:p>
    <w:p>
      <w:pPr>
        <w:pStyle w:val="2"/>
        <w:jc w:val="center"/>
      </w:pPr>
      <w:r>
        <w:rPr>
          <w:sz w:val="20"/>
        </w:rPr>
        <w:t xml:space="preserve">ТЕАТРАЛЬНОГО ИСКУССТВА ВОРОНЕЖСКОЙ ОБЛАСТИ</w:t>
      </w:r>
    </w:p>
    <w:p>
      <w:pPr>
        <w:pStyle w:val="0"/>
        <w:ind w:firstLine="540"/>
        <w:jc w:val="both"/>
      </w:pPr>
      <w:r>
        <w:rPr>
          <w:sz w:val="20"/>
        </w:rPr>
      </w:r>
    </w:p>
    <w:p>
      <w:pPr>
        <w:pStyle w:val="0"/>
        <w:ind w:firstLine="540"/>
        <w:jc w:val="both"/>
      </w:pPr>
      <w:r>
        <w:rPr>
          <w:sz w:val="20"/>
        </w:rPr>
        <w:t xml:space="preserve">В соответствии со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0" w:tooltip="Постановление Правительства Воронежской обл. от 18.12.2013 N 1119 (ред. от 21.11.2025) &quot;Об утверждении государственной программы Воронежской области &quot;Развитие культуры и туризма&quot; {КонсультантПлюс}">
        <w:r>
          <w:rPr>
            <w:sz w:val="20"/>
            <w:color w:val="0000ff"/>
          </w:rPr>
          <w:t xml:space="preserve">постановлением</w:t>
        </w:r>
      </w:hyperlink>
      <w:r>
        <w:rPr>
          <w:sz w:val="20"/>
        </w:rPr>
        <w:t xml:space="preserve"> Правительства Воронежской области от 18.12.2013 N 1119 "Об утверждении государственной программы Воронежской области "Развитие культуры и туризма" Правительство Воронежской области постановляет:</w:t>
      </w:r>
    </w:p>
    <w:p>
      <w:pPr>
        <w:pStyle w:val="0"/>
        <w:spacing w:before="200" w:lineRule="auto"/>
        <w:ind w:firstLine="540"/>
        <w:jc w:val="both"/>
      </w:pPr>
      <w:r>
        <w:rPr>
          <w:sz w:val="20"/>
        </w:rPr>
        <w:t xml:space="preserve">1. Утвердить </w:t>
      </w:r>
      <w:hyperlink w:history="0" w:anchor="P30" w:tooltip="ПОРЯДОК">
        <w:r>
          <w:rPr>
            <w:sz w:val="20"/>
            <w:color w:val="0000ff"/>
          </w:rPr>
          <w:t xml:space="preserve">Порядок</w:t>
        </w:r>
      </w:hyperlink>
      <w:r>
        <w:rPr>
          <w:sz w:val="20"/>
        </w:rPr>
        <w:t xml:space="preserve"> предоставления гранта в форме субсидии на развитие деятельности негосударственных организаций в сфере театрального искусства Воронежской области согласно приложению к настоящему постановлению.</w:t>
      </w:r>
    </w:p>
    <w:p>
      <w:pPr>
        <w:pStyle w:val="0"/>
        <w:spacing w:before="200" w:lineRule="auto"/>
        <w:ind w:firstLine="540"/>
        <w:jc w:val="both"/>
      </w:pPr>
      <w:r>
        <w:rPr>
          <w:sz w:val="20"/>
        </w:rPr>
        <w:t xml:space="preserve">2. Признать утратившим силу </w:t>
      </w:r>
      <w:hyperlink w:history="0" r:id="rId11" w:tooltip="Постановление Правительства Воронежской обл. от 06.08.2024 N 503 &quot;Об утверждении Порядка предоставления гранта в форме субсидии на развитие деятельности негосударственных организаций в сфере театрального искусства Воронежской области&quot; ------------ Утратил силу или отменен {КонсультантПлюс}">
        <w:r>
          <w:rPr>
            <w:sz w:val="20"/>
            <w:color w:val="0000ff"/>
          </w:rPr>
          <w:t xml:space="preserve">постановление</w:t>
        </w:r>
      </w:hyperlink>
      <w:r>
        <w:rPr>
          <w:sz w:val="20"/>
        </w:rPr>
        <w:t xml:space="preserve"> Правительства Воронежской области от 06.08.2024 N 503 "Об утверждении Порядка предоставления гранта в форме субсидии на развитие деятельности негосударственных организаций в сфере театрального искусства Воронежской области".</w:t>
      </w:r>
    </w:p>
    <w:p>
      <w:pPr>
        <w:pStyle w:val="0"/>
        <w:spacing w:before="200" w:lineRule="auto"/>
        <w:ind w:firstLine="540"/>
        <w:jc w:val="both"/>
      </w:pPr>
      <w:r>
        <w:rPr>
          <w:sz w:val="20"/>
        </w:rPr>
        <w:t xml:space="preserve">3. Контроль за исполнением настоящего постановления возложить на заместителя председателя Правительства Воронежской области Мосолова О.Н.</w:t>
      </w:r>
    </w:p>
    <w:p>
      <w:pPr>
        <w:pStyle w:val="0"/>
        <w:ind w:firstLine="540"/>
        <w:jc w:val="both"/>
      </w:pPr>
      <w:r>
        <w:rPr>
          <w:sz w:val="20"/>
        </w:rPr>
      </w:r>
    </w:p>
    <w:p>
      <w:pPr>
        <w:pStyle w:val="0"/>
        <w:jc w:val="right"/>
      </w:pPr>
      <w:r>
        <w:rPr>
          <w:sz w:val="20"/>
        </w:rPr>
        <w:t xml:space="preserve">Губернатор Воронежской области</w:t>
      </w:r>
    </w:p>
    <w:p>
      <w:pPr>
        <w:pStyle w:val="0"/>
        <w:jc w:val="right"/>
      </w:pPr>
      <w:r>
        <w:rPr>
          <w:sz w:val="20"/>
        </w:rPr>
        <w:t xml:space="preserve">А.В.ГУСЕВ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Воронежской области</w:t>
      </w:r>
    </w:p>
    <w:p>
      <w:pPr>
        <w:pStyle w:val="0"/>
        <w:jc w:val="right"/>
      </w:pPr>
      <w:r>
        <w:rPr>
          <w:sz w:val="20"/>
        </w:rPr>
        <w:t xml:space="preserve">от 20.08.2025 N 547</w:t>
      </w:r>
    </w:p>
    <w:p>
      <w:pPr>
        <w:pStyle w:val="0"/>
        <w:ind w:firstLine="540"/>
        <w:jc w:val="both"/>
      </w:pPr>
      <w:r>
        <w:rPr>
          <w:sz w:val="20"/>
        </w:rPr>
      </w:r>
    </w:p>
    <w:bookmarkStart w:id="30" w:name="P30"/>
    <w:bookmarkEnd w:id="30"/>
    <w:p>
      <w:pPr>
        <w:pStyle w:val="2"/>
        <w:jc w:val="center"/>
      </w:pPr>
      <w:r>
        <w:rPr>
          <w:sz w:val="20"/>
        </w:rPr>
        <w:t xml:space="preserve">ПОРЯДОК</w:t>
      </w:r>
    </w:p>
    <w:p>
      <w:pPr>
        <w:pStyle w:val="2"/>
        <w:jc w:val="center"/>
      </w:pPr>
      <w:r>
        <w:rPr>
          <w:sz w:val="20"/>
        </w:rPr>
        <w:t xml:space="preserve">ПРЕДОСТАВЛЕНИЯ ГРАНТА В ФОРМЕ СУБСИДИИ НА РАЗВИТИЕ</w:t>
      </w:r>
    </w:p>
    <w:p>
      <w:pPr>
        <w:pStyle w:val="2"/>
        <w:jc w:val="center"/>
      </w:pPr>
      <w:r>
        <w:rPr>
          <w:sz w:val="20"/>
        </w:rPr>
        <w:t xml:space="preserve">ДЕЯТЕЛЬНОСТИ НЕГОСУДАРСТВЕННЫХ ОРГАНИЗАЦИЙ</w:t>
      </w:r>
    </w:p>
    <w:p>
      <w:pPr>
        <w:pStyle w:val="2"/>
        <w:jc w:val="center"/>
      </w:pPr>
      <w:r>
        <w:rPr>
          <w:sz w:val="20"/>
        </w:rPr>
        <w:t xml:space="preserve">В СФЕРЕ ТЕАТРАЛЬНОГО ИСКУССТВА ВОРОНЕЖСКОЙ ОБЛАСТИ</w:t>
      </w:r>
    </w:p>
    <w:p>
      <w:pPr>
        <w:pStyle w:val="0"/>
        <w:ind w:firstLine="54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Настоящий Порядок предоставления гранта в форме субсидии на развитие деятельности негосударственных организаций в сфере театрального искусства Воронежской области (далее - Порядок) определяет цели, условия и порядок предоставления гранта, порядок проведения отбора получателя гранта, порядок возврата гранта в случае нарушения условий, установленных при его предоставлении, положения о проверке главным распорядителем бюджетных средств соблюдения получателем гранта условий и порядка предоставления гранта, в том числе в части достижения результатов предоставления гранта, а также положения об осуществлении органами государственного финансового контроля проверок в соответствии со </w:t>
      </w:r>
      <w:hyperlink w:history="0" r:id="rId12"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13"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bookmarkStart w:id="38" w:name="P38"/>
    <w:bookmarkEnd w:id="38"/>
    <w:p>
      <w:pPr>
        <w:pStyle w:val="0"/>
        <w:spacing w:before="200" w:lineRule="auto"/>
        <w:ind w:firstLine="540"/>
        <w:jc w:val="both"/>
      </w:pPr>
      <w:r>
        <w:rPr>
          <w:sz w:val="20"/>
        </w:rPr>
        <w:t xml:space="preserve">1.2. Целью предоставления гранта является финансовое обеспечение затрат некоммерческой организации, осуществляющей деятельность в сфере театрального искусства на территории Воронежской области (далее - некоммерческая организация, участник конкурса), на реализацию программы (проекта) по направлению, указанному в </w:t>
      </w:r>
      <w:hyperlink w:history="0" w:anchor="P61" w:tooltip="г) программа (проект) участника отбора планируется к реализации на территории Воронежской области по следующему направлению - создание и показ новых спектаклей. Получателем гранта (участником отбора) могут быть дополнительно проведены театральный фестиваль (фестивали), и (или) семинар (семинары), и (или) лаборатория (лаборатории), и (или) творческая встреча (встречи), конкурс (конкурсы) и другие мероприятия художественно-творческого характера.">
        <w:r>
          <w:rPr>
            <w:sz w:val="20"/>
            <w:color w:val="0000ff"/>
          </w:rPr>
          <w:t xml:space="preserve">подпункте "г" пункта 2.3</w:t>
        </w:r>
      </w:hyperlink>
      <w:r>
        <w:rPr>
          <w:sz w:val="20"/>
        </w:rPr>
        <w:t xml:space="preserve"> настоящего Порядка, разработанной некоммерческой организацией, в рамках реализации комплекса процессных мероприятий "Поддержка творческих инициатив населения и организаций в сфере культуры, развитие кадрового потенциала, подготовка и проведение мероприятий, посвященных значимым событиям" государственной </w:t>
      </w:r>
      <w:hyperlink w:history="0" r:id="rId14" w:tooltip="Постановление Правительства Воронежской обл. от 18.12.2013 N 1119 (ред. от 21.11.2025) &quot;Об утверждении государственной программы Воронежской области &quot;Развитие культуры и туризма&quot; {КонсультантПлюс}">
        <w:r>
          <w:rPr>
            <w:sz w:val="20"/>
            <w:color w:val="0000ff"/>
          </w:rPr>
          <w:t xml:space="preserve">программы</w:t>
        </w:r>
      </w:hyperlink>
      <w:r>
        <w:rPr>
          <w:sz w:val="20"/>
        </w:rPr>
        <w:t xml:space="preserve"> Воронежской области "Развитие культуры и туризма", утвержденной постановлением Правительства Воронежской области от 18.12.2013 N 1119 "Об утверждении государственной программы Воронежской области "Развитие культуры и туризма".</w:t>
      </w:r>
    </w:p>
    <w:bookmarkStart w:id="39" w:name="P39"/>
    <w:bookmarkEnd w:id="39"/>
    <w:p>
      <w:pPr>
        <w:pStyle w:val="0"/>
        <w:spacing w:before="200" w:lineRule="auto"/>
        <w:ind w:firstLine="540"/>
        <w:jc w:val="both"/>
      </w:pPr>
      <w:r>
        <w:rPr>
          <w:sz w:val="20"/>
        </w:rPr>
        <w:t xml:space="preserve">1.3. Исполнительным органом Воронежской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гранта, является министерство культуры Воронежской области (далее - Министерство).</w:t>
      </w:r>
    </w:p>
    <w:p>
      <w:pPr>
        <w:pStyle w:val="0"/>
        <w:spacing w:before="200" w:lineRule="auto"/>
        <w:ind w:firstLine="540"/>
        <w:jc w:val="both"/>
      </w:pPr>
      <w:r>
        <w:rPr>
          <w:sz w:val="20"/>
        </w:rPr>
        <w:t xml:space="preserve">Предоставление гранта осуществляется в соответствии со сводной бюджетной росписью в пределах бюджетных ассигнований, предусмотренных Законом Воронежской области об областном бюджете на соответствующий финансовый год и на плановый период.</w:t>
      </w:r>
    </w:p>
    <w:p>
      <w:pPr>
        <w:pStyle w:val="0"/>
        <w:spacing w:before="200" w:lineRule="auto"/>
        <w:ind w:firstLine="540"/>
        <w:jc w:val="both"/>
      </w:pPr>
      <w:r>
        <w:rPr>
          <w:sz w:val="20"/>
        </w:rPr>
        <w:t xml:space="preserve">1.4. Способом предоставления гранта является финансовое обеспечение затрат.</w:t>
      </w:r>
    </w:p>
    <w:p>
      <w:pPr>
        <w:pStyle w:val="0"/>
        <w:spacing w:before="200" w:lineRule="auto"/>
        <w:ind w:firstLine="540"/>
        <w:jc w:val="both"/>
      </w:pPr>
      <w:r>
        <w:rPr>
          <w:sz w:val="20"/>
        </w:rPr>
        <w:t xml:space="preserve">1.5. Информация о гранте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в порядке, установленном Министерством финансов Российской Федерации.</w:t>
      </w:r>
    </w:p>
    <w:p>
      <w:pPr>
        <w:pStyle w:val="0"/>
        <w:ind w:firstLine="540"/>
        <w:jc w:val="both"/>
      </w:pPr>
      <w:r>
        <w:rPr>
          <w:sz w:val="20"/>
        </w:rPr>
      </w:r>
    </w:p>
    <w:p>
      <w:pPr>
        <w:pStyle w:val="2"/>
        <w:outlineLvl w:val="1"/>
        <w:jc w:val="center"/>
      </w:pPr>
      <w:r>
        <w:rPr>
          <w:sz w:val="20"/>
        </w:rPr>
        <w:t xml:space="preserve">2. Условия и порядок предоставления гранта</w:t>
      </w:r>
    </w:p>
    <w:p>
      <w:pPr>
        <w:pStyle w:val="0"/>
        <w:ind w:firstLine="540"/>
        <w:jc w:val="both"/>
      </w:pPr>
      <w:r>
        <w:rPr>
          <w:sz w:val="20"/>
        </w:rPr>
      </w:r>
    </w:p>
    <w:p>
      <w:pPr>
        <w:pStyle w:val="0"/>
        <w:ind w:firstLine="540"/>
        <w:jc w:val="both"/>
      </w:pPr>
      <w:r>
        <w:rPr>
          <w:sz w:val="20"/>
        </w:rPr>
        <w:t xml:space="preserve">2.1. Право на получение гранта имеет некоммерческая организация (далее - участник отбора, получатель гранта), победившая в конкурсном отборе на предоставление гранта в форме субсидии на развитие деятельности негосударственных организаций в сфере театрального искусства Воронежской области и соответствующая требованиям и условиям, установленным </w:t>
      </w:r>
      <w:hyperlink w:history="0" w:anchor="P47"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и </w:t>
      </w:r>
      <w:hyperlink w:history="0" w:anchor="P57"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настоящего Порядка.</w:t>
      </w:r>
    </w:p>
    <w:bookmarkStart w:id="47" w:name="P47"/>
    <w:bookmarkEnd w:id="47"/>
    <w:p>
      <w:pPr>
        <w:pStyle w:val="0"/>
        <w:spacing w:before="200" w:lineRule="auto"/>
        <w:ind w:firstLine="540"/>
        <w:jc w:val="both"/>
      </w:pPr>
      <w:r>
        <w:rPr>
          <w:sz w:val="20"/>
        </w:rPr>
        <w:t xml:space="preserve">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w:t>
      </w:r>
    </w:p>
    <w:bookmarkStart w:id="48" w:name="P48"/>
    <w:bookmarkEnd w:id="48"/>
    <w:p>
      <w:pPr>
        <w:pStyle w:val="0"/>
        <w:spacing w:before="200" w:lineRule="auto"/>
        <w:ind w:firstLine="540"/>
        <w:jc w:val="both"/>
      </w:pPr>
      <w:r>
        <w:rPr>
          <w:sz w:val="20"/>
        </w:rPr>
        <w:t xml:space="preserve">а) участник отбора не является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49" w:name="P49"/>
    <w:bookmarkEnd w:id="49"/>
    <w:p>
      <w:pPr>
        <w:pStyle w:val="0"/>
        <w:spacing w:before="200" w:lineRule="auto"/>
        <w:ind w:firstLine="540"/>
        <w:jc w:val="both"/>
      </w:pPr>
      <w:r>
        <w:rPr>
          <w:sz w:val="20"/>
        </w:rPr>
        <w:t xml:space="preserve">б)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50" w:name="P50"/>
    <w:bookmarkEnd w:id="50"/>
    <w:p>
      <w:pPr>
        <w:pStyle w:val="0"/>
        <w:spacing w:before="200" w:lineRule="auto"/>
        <w:ind w:firstLine="540"/>
        <w:jc w:val="both"/>
      </w:pPr>
      <w:r>
        <w:rPr>
          <w:sz w:val="20"/>
        </w:rPr>
        <w:t xml:space="preserve">в) участник отбора не находится в составляемых в рамках реализации полномочий, предусмотренных </w:t>
      </w:r>
      <w:hyperlink w:history="0" r:id="rId15"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51" w:name="P51"/>
    <w:bookmarkEnd w:id="51"/>
    <w:p>
      <w:pPr>
        <w:pStyle w:val="0"/>
        <w:spacing w:before="200" w:lineRule="auto"/>
        <w:ind w:firstLine="540"/>
        <w:jc w:val="both"/>
      </w:pPr>
      <w:r>
        <w:rPr>
          <w:sz w:val="20"/>
        </w:rPr>
        <w:t xml:space="preserve">г) участник отбора не получает средства из бюджета Воронежской области на основании иных нормативных правовых актов Воронежской области на цель, установленную </w:t>
      </w:r>
      <w:hyperlink w:history="0" w:anchor="P38" w:tooltip="1.2. Целью предоставления гранта является финансовое обеспечение затрат некоммерческой организации, осуществляющей деятельность в сфере театрального искусства на территории Воронежской области (далее - некоммерческая организация, участник конкурса), на реализацию программы (проекта) по направлению, указанному в подпункте &quot;г&quot; пункта 2.3 настоящего Порядка, разработанной некоммерческой организацией, в рамках реализации комплекса процессных мероприятий &quot;Поддержка творческих инициатив населения и организаций...">
        <w:r>
          <w:rPr>
            <w:sz w:val="20"/>
            <w:color w:val="0000ff"/>
          </w:rPr>
          <w:t xml:space="preserve">пунктом 1.2</w:t>
        </w:r>
      </w:hyperlink>
      <w:r>
        <w:rPr>
          <w:sz w:val="20"/>
        </w:rPr>
        <w:t xml:space="preserve"> настоящего Порядка;</w:t>
      </w:r>
    </w:p>
    <w:bookmarkStart w:id="52" w:name="P52"/>
    <w:bookmarkEnd w:id="52"/>
    <w:p>
      <w:pPr>
        <w:pStyle w:val="0"/>
        <w:spacing w:before="200" w:lineRule="auto"/>
        <w:ind w:firstLine="540"/>
        <w:jc w:val="both"/>
      </w:pPr>
      <w:r>
        <w:rPr>
          <w:sz w:val="20"/>
        </w:rPr>
        <w:t xml:space="preserve">д) участник отбора не является иностранным агентом в соответствии с Федеральным </w:t>
      </w:r>
      <w:hyperlink w:history="0" r:id="rId1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53" w:name="P53"/>
    <w:bookmarkEnd w:id="53"/>
    <w:p>
      <w:pPr>
        <w:pStyle w:val="0"/>
        <w:spacing w:before="200" w:lineRule="auto"/>
        <w:ind w:firstLine="540"/>
        <w:jc w:val="both"/>
      </w:pPr>
      <w:r>
        <w:rPr>
          <w:sz w:val="20"/>
        </w:rPr>
        <w:t xml:space="preserve">е) у участника отбора на едином налоговом счете отсутствует или не превышает размер, определенный </w:t>
      </w:r>
      <w:hyperlink w:history="0" r:id="rId17"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bookmarkStart w:id="54" w:name="P54"/>
    <w:bookmarkEnd w:id="54"/>
    <w:p>
      <w:pPr>
        <w:pStyle w:val="0"/>
        <w:spacing w:before="200" w:lineRule="auto"/>
        <w:ind w:firstLine="540"/>
        <w:jc w:val="both"/>
      </w:pPr>
      <w:r>
        <w:rPr>
          <w:sz w:val="20"/>
        </w:rPr>
        <w:t xml:space="preserve">ж) у участника отбора отсутствуют просроченная задолженность по возврату в бюджет Воронежской области иных субсидий, бюджетных инвестиций, а также иная просроченная (неурегулированная) задолженность по денежным обязательствам перед Воронежской областью (за исключением случаев, установленных Правительством Воронежской области);</w:t>
      </w:r>
    </w:p>
    <w:bookmarkStart w:id="55" w:name="P55"/>
    <w:bookmarkEnd w:id="55"/>
    <w:p>
      <w:pPr>
        <w:pStyle w:val="0"/>
        <w:spacing w:before="200" w:lineRule="auto"/>
        <w:ind w:firstLine="540"/>
        <w:jc w:val="both"/>
      </w:pPr>
      <w:r>
        <w:rPr>
          <w:sz w:val="20"/>
        </w:rPr>
        <w:t xml:space="preserve">з) 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bookmarkStart w:id="56" w:name="P56"/>
    <w:bookmarkEnd w:id="56"/>
    <w:p>
      <w:pPr>
        <w:pStyle w:val="0"/>
        <w:spacing w:before="200" w:lineRule="auto"/>
        <w:ind w:firstLine="540"/>
        <w:jc w:val="both"/>
      </w:pPr>
      <w:r>
        <w:rPr>
          <w:sz w:val="20"/>
        </w:rPr>
        <w:t xml:space="preserve">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bookmarkStart w:id="57" w:name="P57"/>
    <w:bookmarkEnd w:id="57"/>
    <w:p>
      <w:pPr>
        <w:pStyle w:val="0"/>
        <w:spacing w:before="200" w:lineRule="auto"/>
        <w:ind w:firstLine="540"/>
        <w:jc w:val="both"/>
      </w:pPr>
      <w:r>
        <w:rPr>
          <w:sz w:val="20"/>
        </w:rPr>
        <w:t xml:space="preserve">2.3. На дату рассмотрения заявки участник отбора должен соответствовать следующим условиям:</w:t>
      </w:r>
    </w:p>
    <w:p>
      <w:pPr>
        <w:pStyle w:val="0"/>
        <w:spacing w:before="200" w:lineRule="auto"/>
        <w:ind w:firstLine="540"/>
        <w:jc w:val="both"/>
      </w:pPr>
      <w:r>
        <w:rPr>
          <w:sz w:val="20"/>
        </w:rPr>
        <w:t xml:space="preserve">а) участник отбора зарегистрирован в установленном федеральным законодательством порядке на территории Воронежской области и осуществляет в соответствии со своими учредительными документами в качестве основного или дополнительного вида деятельности деятельность в области исполнительских искусств;</w:t>
      </w:r>
    </w:p>
    <w:p>
      <w:pPr>
        <w:pStyle w:val="0"/>
        <w:spacing w:before="200" w:lineRule="auto"/>
        <w:ind w:firstLine="540"/>
        <w:jc w:val="both"/>
      </w:pPr>
      <w:r>
        <w:rPr>
          <w:sz w:val="20"/>
        </w:rPr>
        <w:t xml:space="preserve">б) участник отбора не имеет учредителя, являющегося государственным органом, органом местного самоуправления или публично-правовым образованием;</w:t>
      </w:r>
    </w:p>
    <w:p>
      <w:pPr>
        <w:pStyle w:val="0"/>
        <w:spacing w:before="200" w:lineRule="auto"/>
        <w:ind w:firstLine="540"/>
        <w:jc w:val="both"/>
      </w:pPr>
      <w:r>
        <w:rPr>
          <w:sz w:val="20"/>
        </w:rPr>
        <w:t xml:space="preserve">в) участник отбора имеет на праве собственности либо на основании договора аренды (безвозмездного пользования) недвижимое имущество с наличием сценической площадки и зрительного зала вместимостью свыше 300 мест;</w:t>
      </w:r>
    </w:p>
    <w:bookmarkStart w:id="61" w:name="P61"/>
    <w:bookmarkEnd w:id="61"/>
    <w:p>
      <w:pPr>
        <w:pStyle w:val="0"/>
        <w:spacing w:before="200" w:lineRule="auto"/>
        <w:ind w:firstLine="540"/>
        <w:jc w:val="both"/>
      </w:pPr>
      <w:r>
        <w:rPr>
          <w:sz w:val="20"/>
        </w:rPr>
        <w:t xml:space="preserve">г) программа (проект) участника отбора планируется к реализации на территории Воронежской области по следующему направлению - создание и показ новых спектаклей. Получателем гранта (участником отбора) могут быть дополнительно проведены театральный фестиваль (фестивали), и (или) семинар (семинары), и (или) лаборатория (лаборатории), и (или) творческая встреча (встречи), конкурс (конкурсы) и другие мероприятия художественно-творческого характера.</w:t>
      </w:r>
    </w:p>
    <w:p>
      <w:pPr>
        <w:pStyle w:val="0"/>
        <w:spacing w:before="200" w:lineRule="auto"/>
        <w:ind w:firstLine="540"/>
        <w:jc w:val="both"/>
      </w:pPr>
      <w:r>
        <w:rPr>
          <w:sz w:val="20"/>
        </w:rPr>
        <w:t xml:space="preserve">2.4. Способом проведения отбора для предоставления гранта является конкурс, который проводится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pPr>
        <w:pStyle w:val="0"/>
        <w:spacing w:before="200" w:lineRule="auto"/>
        <w:ind w:firstLine="540"/>
        <w:jc w:val="both"/>
      </w:pPr>
      <w:r>
        <w:rPr>
          <w:sz w:val="20"/>
        </w:rPr>
        <w:t xml:space="preserve">2.5. Объявление о проведении отбора размещается Министерством на едином портале с указанием:</w:t>
      </w:r>
    </w:p>
    <w:p>
      <w:pPr>
        <w:pStyle w:val="0"/>
        <w:spacing w:before="200" w:lineRule="auto"/>
        <w:ind w:firstLine="540"/>
        <w:jc w:val="both"/>
      </w:pPr>
      <w:r>
        <w:rPr>
          <w:sz w:val="20"/>
        </w:rPr>
        <w:t xml:space="preserve">- сроков проведения отбора;</w:t>
      </w:r>
    </w:p>
    <w:p>
      <w:pPr>
        <w:pStyle w:val="0"/>
        <w:spacing w:before="200" w:lineRule="auto"/>
        <w:ind w:firstLine="540"/>
        <w:jc w:val="both"/>
      </w:pPr>
      <w:r>
        <w:rPr>
          <w:sz w:val="20"/>
        </w:rPr>
        <w:t xml:space="preserve">- дат начала подачи и окончания приема заявок участников отбора, при этом дата окончания приема заявок не может быть ранее 30-го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 наименования, места нахождения, почтового адреса, адреса электронной почты Министерства;</w:t>
      </w:r>
    </w:p>
    <w:p>
      <w:pPr>
        <w:pStyle w:val="0"/>
        <w:spacing w:before="200" w:lineRule="auto"/>
        <w:ind w:firstLine="540"/>
        <w:jc w:val="both"/>
      </w:pPr>
      <w:r>
        <w:rPr>
          <w:sz w:val="20"/>
        </w:rPr>
        <w:t xml:space="preserve">- результата предоставления гранта;</w:t>
      </w:r>
    </w:p>
    <w:p>
      <w:pPr>
        <w:pStyle w:val="0"/>
        <w:spacing w:before="200" w:lineRule="auto"/>
        <w:ind w:firstLine="540"/>
        <w:jc w:val="both"/>
      </w:pPr>
      <w:r>
        <w:rPr>
          <w:sz w:val="20"/>
        </w:rPr>
        <w:t xml:space="preserve">- доменного имени и (или) указателей страниц системы "Электронный бюджет" в сети "Интернет";</w:t>
      </w:r>
    </w:p>
    <w:p>
      <w:pPr>
        <w:pStyle w:val="0"/>
        <w:spacing w:before="200" w:lineRule="auto"/>
        <w:ind w:firstLine="540"/>
        <w:jc w:val="both"/>
      </w:pPr>
      <w:r>
        <w:rPr>
          <w:sz w:val="20"/>
        </w:rPr>
        <w:t xml:space="preserve">- требований и условий, которым должен соответствовать участник отбора в соответствии с </w:t>
      </w:r>
      <w:hyperlink w:history="0" w:anchor="P47"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и </w:t>
      </w:r>
      <w:hyperlink w:history="0" w:anchor="P57"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настоящего Порядка, и перечня документов, представляемых участниками отбора для подтверждения их соответствия указанным требованиям и условиям;</w:t>
      </w:r>
    </w:p>
    <w:p>
      <w:pPr>
        <w:pStyle w:val="0"/>
        <w:spacing w:before="200" w:lineRule="auto"/>
        <w:ind w:firstLine="540"/>
        <w:jc w:val="both"/>
      </w:pPr>
      <w:r>
        <w:rPr>
          <w:sz w:val="20"/>
        </w:rPr>
        <w:t xml:space="preserve">- категории получателя гранта и критериев оценки заявок;</w:t>
      </w:r>
    </w:p>
    <w:p>
      <w:pPr>
        <w:pStyle w:val="0"/>
        <w:spacing w:before="200" w:lineRule="auto"/>
        <w:ind w:firstLine="540"/>
        <w:jc w:val="both"/>
      </w:pPr>
      <w:r>
        <w:rPr>
          <w:sz w:val="20"/>
        </w:rPr>
        <w:t xml:space="preserve">- порядка подачи заявок участниками отбора и требований, предъявляемых к форме и содержанию заявок;</w:t>
      </w:r>
    </w:p>
    <w:p>
      <w:pPr>
        <w:pStyle w:val="0"/>
        <w:spacing w:before="200" w:lineRule="auto"/>
        <w:ind w:firstLine="540"/>
        <w:jc w:val="both"/>
      </w:pPr>
      <w:r>
        <w:rPr>
          <w:sz w:val="20"/>
        </w:rPr>
        <w:t xml:space="preserve">- порядка отзыва заявок, порядка их возврата, определяющего в том числе основания для возврата заявок, порядка внесения изменений в заявки;</w:t>
      </w:r>
    </w:p>
    <w:p>
      <w:pPr>
        <w:pStyle w:val="0"/>
        <w:spacing w:before="200" w:lineRule="auto"/>
        <w:ind w:firstLine="540"/>
        <w:jc w:val="both"/>
      </w:pPr>
      <w:r>
        <w:rPr>
          <w:sz w:val="20"/>
        </w:rPr>
        <w:t xml:space="preserve">- правил рассмотрения и оценки заявок в соответствии с </w:t>
      </w:r>
      <w:hyperlink w:history="0" w:anchor="P105" w:tooltip="2.11. Министерство в день рассмотрения заявки:">
        <w:r>
          <w:rPr>
            <w:sz w:val="20"/>
            <w:color w:val="0000ff"/>
          </w:rPr>
          <w:t xml:space="preserve">пунктами 2.11</w:t>
        </w:r>
      </w:hyperlink>
      <w:r>
        <w:rPr>
          <w:sz w:val="20"/>
        </w:rPr>
        <w:t xml:space="preserve"> - </w:t>
      </w:r>
      <w:hyperlink w:history="0" w:anchor="P125" w:tooltip="2.14. Министерство в течение 10 рабочих дней с даты окончания приема заявок рассматривает заявки на предмет соответствия требованиям и условиям, установленным пунктами 2.2, 2.3 настоящего Порядка.">
        <w:r>
          <w:rPr>
            <w:sz w:val="20"/>
            <w:color w:val="0000ff"/>
          </w:rPr>
          <w:t xml:space="preserve">2.14</w:t>
        </w:r>
      </w:hyperlink>
      <w:r>
        <w:rPr>
          <w:sz w:val="20"/>
        </w:rPr>
        <w:t xml:space="preserve"> настоящего Порядка;</w:t>
      </w:r>
    </w:p>
    <w:p>
      <w:pPr>
        <w:pStyle w:val="0"/>
        <w:spacing w:before="200" w:lineRule="auto"/>
        <w:ind w:firstLine="540"/>
        <w:jc w:val="both"/>
      </w:pPr>
      <w:r>
        <w:rPr>
          <w:sz w:val="20"/>
        </w:rPr>
        <w:t xml:space="preserve">- порядка возврата заявок на доработку;</w:t>
      </w:r>
    </w:p>
    <w:p>
      <w:pPr>
        <w:pStyle w:val="0"/>
        <w:spacing w:before="200" w:lineRule="auto"/>
        <w:ind w:firstLine="540"/>
        <w:jc w:val="both"/>
      </w:pPr>
      <w:r>
        <w:rPr>
          <w:sz w:val="20"/>
        </w:rPr>
        <w:t xml:space="preserve">- порядка отклонения заявок, а также информации об основании их отклонения;</w:t>
      </w:r>
    </w:p>
    <w:p>
      <w:pPr>
        <w:pStyle w:val="0"/>
        <w:spacing w:before="200" w:lineRule="auto"/>
        <w:ind w:firstLine="540"/>
        <w:jc w:val="both"/>
      </w:pPr>
      <w:r>
        <w:rPr>
          <w:sz w:val="20"/>
        </w:rPr>
        <w:t xml:space="preserve">- порядка оценки заявок, включающего критерии оценки и их весовое значение в общей оценке, необходимую для представления участником отбора информацию по каждому критерию оценки, сведения, документы и материалы, подтверждающие такую информацию, сроки оценки заявок, а также информацию об участии комиссии, указанной в </w:t>
      </w:r>
      <w:hyperlink w:history="0" w:anchor="P142" w:tooltip="2.18. С целью проведения оценки представленных участниками отбора программ (проектов) создается комиссия по рассмотрению заявок и оценке программ (проектов) участников отбора для предоставления гранта (далее - комиссия), состав которой утверждается приказом Министерства.">
        <w:r>
          <w:rPr>
            <w:sz w:val="20"/>
            <w:color w:val="0000ff"/>
          </w:rPr>
          <w:t xml:space="preserve">пункте 2.18</w:t>
        </w:r>
      </w:hyperlink>
      <w:r>
        <w:rPr>
          <w:sz w:val="20"/>
        </w:rPr>
        <w:t xml:space="preserve"> настоящего Порядка, в оценке заявок;</w:t>
      </w:r>
    </w:p>
    <w:p>
      <w:pPr>
        <w:pStyle w:val="0"/>
        <w:spacing w:before="200" w:lineRule="auto"/>
        <w:ind w:firstLine="540"/>
        <w:jc w:val="both"/>
      </w:pPr>
      <w:r>
        <w:rPr>
          <w:sz w:val="20"/>
        </w:rPr>
        <w:t xml:space="preserve">- порядка предоставления участникам отбора разъяснений положений объявления о проведении отбора, дат начала и окончания срока такого предоставления;</w:t>
      </w:r>
    </w:p>
    <w:p>
      <w:pPr>
        <w:pStyle w:val="0"/>
        <w:spacing w:before="200" w:lineRule="auto"/>
        <w:ind w:firstLine="540"/>
        <w:jc w:val="both"/>
      </w:pPr>
      <w:r>
        <w:rPr>
          <w:sz w:val="20"/>
        </w:rPr>
        <w:t xml:space="preserve">- срока, в течение которого победитель отбора должен подписать Соглашение;</w:t>
      </w:r>
    </w:p>
    <w:p>
      <w:pPr>
        <w:pStyle w:val="0"/>
        <w:spacing w:before="200" w:lineRule="auto"/>
        <w:ind w:firstLine="540"/>
        <w:jc w:val="both"/>
      </w:pPr>
      <w:r>
        <w:rPr>
          <w:sz w:val="20"/>
        </w:rPr>
        <w:t xml:space="preserve">- объема распределяемого гранта в рамках отбора;</w:t>
      </w:r>
    </w:p>
    <w:p>
      <w:pPr>
        <w:pStyle w:val="0"/>
        <w:spacing w:before="200" w:lineRule="auto"/>
        <w:ind w:firstLine="540"/>
        <w:jc w:val="both"/>
      </w:pPr>
      <w:r>
        <w:rPr>
          <w:sz w:val="20"/>
        </w:rPr>
        <w:t xml:space="preserve">- условий признания победителя отбора уклонившимся от заключения Соглашения;</w:t>
      </w:r>
    </w:p>
    <w:p>
      <w:pPr>
        <w:pStyle w:val="0"/>
        <w:spacing w:before="200" w:lineRule="auto"/>
        <w:ind w:firstLine="540"/>
        <w:jc w:val="both"/>
      </w:pPr>
      <w:r>
        <w:rPr>
          <w:sz w:val="20"/>
        </w:rPr>
        <w:t xml:space="preserve">- сроков размещения протокола подведения итогов отбора на едином портале, которые не могут быть позднее 14-го календарного дня, следующего за днем определения победителя отбора.</w:t>
      </w:r>
    </w:p>
    <w:p>
      <w:pPr>
        <w:pStyle w:val="0"/>
        <w:spacing w:before="200" w:lineRule="auto"/>
        <w:ind w:firstLine="540"/>
        <w:jc w:val="both"/>
      </w:pPr>
      <w:r>
        <w:rPr>
          <w:sz w:val="20"/>
        </w:rPr>
        <w:t xml:space="preserve">Внесение изменений в объявление о проведении отбора осуществляется Министерством не позднее наступления даты окончания приема заявок с соблюдением следующих условий:</w:t>
      </w:r>
    </w:p>
    <w:p>
      <w:pPr>
        <w:pStyle w:val="0"/>
        <w:spacing w:before="200" w:lineRule="auto"/>
        <w:ind w:firstLine="540"/>
        <w:jc w:val="both"/>
      </w:pPr>
      <w:r>
        <w:rPr>
          <w:sz w:val="20"/>
        </w:rPr>
        <w:t xml:space="preserve">а)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б) при внесении изменений в объявление о проведении отбора изменение способа отбора не допускается;</w:t>
      </w:r>
    </w:p>
    <w:p>
      <w:pPr>
        <w:pStyle w:val="0"/>
        <w:spacing w:before="200" w:lineRule="auto"/>
        <w:ind w:firstLine="540"/>
        <w:jc w:val="both"/>
      </w:pPr>
      <w:r>
        <w:rPr>
          <w:sz w:val="20"/>
        </w:rPr>
        <w:t xml:space="preserve">в) 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г) 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pPr>
        <w:pStyle w:val="0"/>
        <w:spacing w:before="200" w:lineRule="auto"/>
        <w:ind w:firstLine="540"/>
        <w:jc w:val="both"/>
      </w:pPr>
      <w:r>
        <w:rPr>
          <w:sz w:val="20"/>
        </w:rPr>
        <w:t xml:space="preserve">2.6. Взаимодействие Министерства с участниками отбора осуществляется в следующем порядке:</w:t>
      </w:r>
    </w:p>
    <w:p>
      <w:pPr>
        <w:pStyle w:val="0"/>
        <w:spacing w:before="200" w:lineRule="auto"/>
        <w:ind w:firstLine="540"/>
        <w:jc w:val="both"/>
      </w:pPr>
      <w:r>
        <w:rPr>
          <w:sz w:val="20"/>
        </w:rPr>
        <w:t xml:space="preserve">а) доступ к системе "Электронный бюджет"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б) взаимодействие осуществляется с использованием документов в электронной форме в системе "Электронный бюджет".</w:t>
      </w:r>
    </w:p>
    <w:p>
      <w:pPr>
        <w:pStyle w:val="0"/>
        <w:spacing w:before="200" w:lineRule="auto"/>
        <w:ind w:firstLine="540"/>
        <w:jc w:val="both"/>
      </w:pPr>
      <w:r>
        <w:rPr>
          <w:sz w:val="20"/>
        </w:rPr>
        <w:t xml:space="preserve">2.7. Для получения гранта участники отбора в срок приема заявок формируют заявку в электронной форме посредством заполнения соответствующих экранных форм веб-интерфейса системы "Электронный бюджет", которая включает в том числе информацию об участнике отбора, предлагаемые участником отбора значения результата предоставления гранта в соответствии с </w:t>
      </w:r>
      <w:hyperlink w:history="0" w:anchor="P206" w:tooltip="2.28. Результатом предоставления гранта является достижение значения мероприятия (результата) &quot;Реализован творческий проект в сфере театрального искусства (созданы спектакли, проведены театральный фестиваль (фестивали), и (или) семинар (семинары), и (или) лаборатория (лаборатории), и (или) творческая встреча (встречи), конкурс (конкурсы) и другие мероприятия художественно-творческого характера&quot; (единица), характеризующееся числом посещений мероприятий творческого проекта в сфере театрального искусства (т...">
        <w:r>
          <w:rPr>
            <w:sz w:val="20"/>
            <w:color w:val="0000ff"/>
          </w:rPr>
          <w:t xml:space="preserve">пунктом 2.28</w:t>
        </w:r>
      </w:hyperlink>
      <w:r>
        <w:rPr>
          <w:sz w:val="20"/>
        </w:rPr>
        <w:t xml:space="preserve"> настоящего Порядка и размер запрашиваемого гранта, установленный в соответствии с </w:t>
      </w:r>
      <w:hyperlink w:history="0" w:anchor="P171" w:tooltip="2.22. Размер предоставляемого гранта составляет размер бюджетных ассигнований, предусмотренных законом Воронежской области об областном бюджете на соответствующий финансовый год и на плановый период.">
        <w:r>
          <w:rPr>
            <w:sz w:val="20"/>
            <w:color w:val="0000ff"/>
          </w:rPr>
          <w:t xml:space="preserve">пунктом 2.22</w:t>
        </w:r>
      </w:hyperlink>
      <w:r>
        <w:rPr>
          <w:sz w:val="20"/>
        </w:rPr>
        <w:t xml:space="preserve"> настоящего Порядка, и представляют в систему "Электронный бюджет" электронные копии следующих документов (документов на бумажном носителе, преобразованных в электронную форму путем сканирования):</w:t>
      </w:r>
    </w:p>
    <w:p>
      <w:pPr>
        <w:pStyle w:val="0"/>
        <w:spacing w:before="200" w:lineRule="auto"/>
        <w:ind w:firstLine="540"/>
        <w:jc w:val="both"/>
      </w:pPr>
      <w:r>
        <w:rPr>
          <w:sz w:val="20"/>
        </w:rPr>
        <w:t xml:space="preserve">а) документа, подтверждающего полномочия руководителя участника отбора (копию решения о назначении или об избрании), или документа, подтверждающего полномочия лица на подачу заявки от имени участника отбора, в случае, если заявку подает лицо, сведения о котором как о лице, имеющем право без доверенности действовать от имени участника отбора, не содержатся в Едином государственном реестре юридических лиц;</w:t>
      </w:r>
    </w:p>
    <w:p>
      <w:pPr>
        <w:pStyle w:val="0"/>
        <w:spacing w:before="200" w:lineRule="auto"/>
        <w:ind w:firstLine="540"/>
        <w:jc w:val="both"/>
      </w:pPr>
      <w:r>
        <w:rPr>
          <w:sz w:val="20"/>
        </w:rPr>
        <w:t xml:space="preserve">б) действующих редакций учредительных документов участника отбора;</w:t>
      </w:r>
    </w:p>
    <w:p>
      <w:pPr>
        <w:pStyle w:val="0"/>
        <w:spacing w:before="200" w:lineRule="auto"/>
        <w:ind w:firstLine="540"/>
        <w:jc w:val="both"/>
      </w:pPr>
      <w:r>
        <w:rPr>
          <w:sz w:val="20"/>
        </w:rPr>
        <w:t xml:space="preserve">в) </w:t>
      </w:r>
      <w:hyperlink w:history="0" w:anchor="P303" w:tooltip="Паспорт программы (проекта)">
        <w:r>
          <w:rPr>
            <w:sz w:val="20"/>
            <w:color w:val="0000ff"/>
          </w:rPr>
          <w:t xml:space="preserve">паспорта</w:t>
        </w:r>
      </w:hyperlink>
      <w:r>
        <w:rPr>
          <w:sz w:val="20"/>
        </w:rPr>
        <w:t xml:space="preserve"> программы (проекта) по форме согласно приложению N 2 к настоящему Порядку;</w:t>
      </w:r>
    </w:p>
    <w:p>
      <w:pPr>
        <w:pStyle w:val="0"/>
        <w:spacing w:before="200" w:lineRule="auto"/>
        <w:ind w:firstLine="540"/>
        <w:jc w:val="both"/>
      </w:pPr>
      <w:r>
        <w:rPr>
          <w:sz w:val="20"/>
        </w:rPr>
        <w:t xml:space="preserve">г) копии документа, подтверждающего право собственности, либо копии договора аренды (безвозмездного пользования) недвижимого имущества с наличием сценической площадки и зрительного зала.</w:t>
      </w:r>
    </w:p>
    <w:p>
      <w:pPr>
        <w:pStyle w:val="0"/>
        <w:spacing w:before="200" w:lineRule="auto"/>
        <w:ind w:firstLine="540"/>
        <w:jc w:val="both"/>
      </w:pPr>
      <w:r>
        <w:rPr>
          <w:sz w:val="20"/>
        </w:rPr>
        <w:t xml:space="preserve">Участник отбора вправе подать только одну заявку.</w:t>
      </w:r>
    </w:p>
    <w:p>
      <w:pPr>
        <w:pStyle w:val="0"/>
        <w:spacing w:before="200" w:lineRule="auto"/>
        <w:ind w:firstLine="540"/>
        <w:jc w:val="both"/>
      </w:pPr>
      <w:r>
        <w:rPr>
          <w:sz w:val="20"/>
        </w:rPr>
        <w:t xml:space="preserve">Заявка должна быть подписана усиленной квалифицированной электронной подписью участника отбора или лица, имеющего право действовать без доверенности от имени участника отбора в соответствии с его учредительными документами, либо иного уполномоченного лица.</w:t>
      </w:r>
    </w:p>
    <w:p>
      <w:pPr>
        <w:pStyle w:val="0"/>
        <w:spacing w:before="200" w:lineRule="auto"/>
        <w:ind w:firstLine="540"/>
        <w:jc w:val="both"/>
      </w:pPr>
      <w:r>
        <w:rPr>
          <w:sz w:val="20"/>
        </w:rPr>
        <w:t xml:space="preserve">Электронные копии документов и материалы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00" w:lineRule="auto"/>
        <w:ind w:firstLine="540"/>
        <w:jc w:val="both"/>
      </w:pPr>
      <w:r>
        <w:rPr>
          <w:sz w:val="20"/>
        </w:rPr>
        <w:t xml:space="preserve">От участника отбора запрещается требовать представления документов и информации в целях подтверждения соответствия участника отбора требованиям, указанным в </w:t>
      </w:r>
      <w:hyperlink w:history="0" w:anchor="P47"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пункте 2.2</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имеется у Министерства.</w:t>
      </w:r>
    </w:p>
    <w:p>
      <w:pPr>
        <w:pStyle w:val="0"/>
        <w:spacing w:before="200" w:lineRule="auto"/>
        <w:ind w:firstLine="540"/>
        <w:jc w:val="both"/>
      </w:pPr>
      <w:r>
        <w:rPr>
          <w:sz w:val="20"/>
        </w:rPr>
        <w:t xml:space="preserve">2.8. 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pPr>
        <w:pStyle w:val="0"/>
        <w:spacing w:before="200" w:lineRule="auto"/>
        <w:ind w:firstLine="540"/>
        <w:jc w:val="both"/>
      </w:pPr>
      <w:r>
        <w:rPr>
          <w:sz w:val="20"/>
        </w:rPr>
        <w:t xml:space="preserve">2.9. Участник отбора вправе в течение срока приема заявок внести изменения в поданную заявку в системе "Электронный бюджет".</w:t>
      </w:r>
    </w:p>
    <w:p>
      <w:pPr>
        <w:pStyle w:val="0"/>
        <w:spacing w:before="200" w:lineRule="auto"/>
        <w:ind w:firstLine="540"/>
        <w:jc w:val="both"/>
      </w:pPr>
      <w:r>
        <w:rPr>
          <w:sz w:val="20"/>
        </w:rPr>
        <w:t xml:space="preserve">2.10. Участник отбора в период срока подачи заявок вправе обратиться в Министерство с запросом о разъяснении положений объявления о проведении отбора путем формирования в системе "Электронный бюджет" соответствующего запроса.</w:t>
      </w:r>
    </w:p>
    <w:p>
      <w:pPr>
        <w:pStyle w:val="0"/>
        <w:spacing w:before="200" w:lineRule="auto"/>
        <w:ind w:firstLine="540"/>
        <w:jc w:val="both"/>
      </w:pPr>
      <w:r>
        <w:rPr>
          <w:sz w:val="20"/>
        </w:rPr>
        <w:t xml:space="preserve">Министерство направляет разъяснение положений объявления о проведении отбора в течение 3 рабочих дней со дня регистрации запроса о разъяснении положений объявления о проведении отбора путем формирования в системе "Электронный бюджет" соответствующего разъяснения.</w:t>
      </w:r>
    </w:p>
    <w:p>
      <w:pPr>
        <w:pStyle w:val="0"/>
        <w:spacing w:before="200" w:lineRule="auto"/>
        <w:ind w:firstLine="540"/>
        <w:jc w:val="both"/>
      </w:pPr>
      <w:r>
        <w:rPr>
          <w:sz w:val="20"/>
        </w:rPr>
        <w:t xml:space="preserve">Доступ к разъяснению, формируемому в системе "Электронный бюджет", предоставляется всем участникам отбора.</w:t>
      </w:r>
    </w:p>
    <w:p>
      <w:pPr>
        <w:pStyle w:val="0"/>
        <w:spacing w:before="200" w:lineRule="auto"/>
        <w:ind w:firstLine="540"/>
        <w:jc w:val="both"/>
      </w:pPr>
      <w:r>
        <w:rPr>
          <w:sz w:val="20"/>
        </w:rPr>
        <w:t xml:space="preserve">Министерству открывается доступ в системе "Электронный бюджет" к заявкам для их рассмотрения.</w:t>
      </w:r>
    </w:p>
    <w:bookmarkStart w:id="105" w:name="P105"/>
    <w:bookmarkEnd w:id="105"/>
    <w:p>
      <w:pPr>
        <w:pStyle w:val="0"/>
        <w:spacing w:before="200" w:lineRule="auto"/>
        <w:ind w:firstLine="540"/>
        <w:jc w:val="both"/>
      </w:pPr>
      <w:r>
        <w:rPr>
          <w:sz w:val="20"/>
        </w:rPr>
        <w:t xml:space="preserve">2.11. Министерство в день рассмотрения заявки:</w:t>
      </w:r>
    </w:p>
    <w:p>
      <w:pPr>
        <w:pStyle w:val="0"/>
        <w:spacing w:before="200" w:lineRule="auto"/>
        <w:ind w:firstLine="540"/>
        <w:jc w:val="both"/>
      </w:pPr>
      <w:r>
        <w:rPr>
          <w:sz w:val="20"/>
        </w:rPr>
        <w:t xml:space="preserve">а) на основании представленных участником отбора документов, поступившей информации, информации, размещаемой на официальных сайтах органов государственной власти, проверяет участника отбора на соответствие требованиям и условиям, установленным </w:t>
      </w:r>
      <w:hyperlink w:history="0" w:anchor="P47"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и </w:t>
      </w:r>
      <w:hyperlink w:history="0" w:anchor="P57"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настоящего Порядка, и проставляет в электронном виде отметки о соответствии (несоответствии)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б) рассматривает представленные документы на предмет их соответствия установленным в объявлении о проведении отбора требованиям.</w:t>
      </w:r>
    </w:p>
    <w:p>
      <w:pPr>
        <w:pStyle w:val="0"/>
        <w:spacing w:before="200" w:lineRule="auto"/>
        <w:ind w:firstLine="540"/>
        <w:jc w:val="both"/>
      </w:pPr>
      <w:r>
        <w:rPr>
          <w:sz w:val="20"/>
        </w:rPr>
        <w:t xml:space="preserve">В случае отсутствия технической возможности осуществления автоматической проверки в системе "Электронный бюджет" Министерство в день рассмотрения заявки и в день заключения Соглашения осуществляет проверку полноты и достоверности содержащихся в документах сведений, а также проверку получателя гранта на соответствие:</w:t>
      </w:r>
    </w:p>
    <w:p>
      <w:pPr>
        <w:pStyle w:val="0"/>
        <w:spacing w:before="200" w:lineRule="auto"/>
        <w:ind w:firstLine="540"/>
        <w:jc w:val="both"/>
      </w:pPr>
      <w:r>
        <w:rPr>
          <w:sz w:val="20"/>
        </w:rPr>
        <w:t xml:space="preserve">- требованиям, установленным </w:t>
      </w:r>
      <w:hyperlink w:history="0" w:anchor="P48" w:tooltip="а) участник отбора не являет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
        <w:r>
          <w:rPr>
            <w:sz w:val="20"/>
            <w:color w:val="0000ff"/>
          </w:rPr>
          <w:t xml:space="preserve">подпунктами "а"</w:t>
        </w:r>
      </w:hyperlink>
      <w:r>
        <w:rPr>
          <w:sz w:val="20"/>
        </w:rPr>
        <w:t xml:space="preserve"> и </w:t>
      </w:r>
      <w:hyperlink w:history="0" w:anchor="P53" w:tooltip="е)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0"/>
            <w:color w:val="0000ff"/>
          </w:rPr>
          <w:t xml:space="preserve">"е" пункта 2.2</w:t>
        </w:r>
      </w:hyperlink>
      <w:r>
        <w:rPr>
          <w:sz w:val="20"/>
        </w:rPr>
        <w:t xml:space="preserve"> настоящего Порядка, на основании сведений из Единого государственного реестра юридических лиц на официальном сайте Федеральной налоговой службы путем использования сервиса "Предоставление сведений из ЕГРЮЛ/ЕГРИП в электронном виде";</w:t>
      </w:r>
    </w:p>
    <w:p>
      <w:pPr>
        <w:pStyle w:val="0"/>
        <w:spacing w:before="200" w:lineRule="auto"/>
        <w:ind w:firstLine="540"/>
        <w:jc w:val="both"/>
      </w:pPr>
      <w:r>
        <w:rPr>
          <w:sz w:val="20"/>
        </w:rPr>
        <w:t xml:space="preserve">- требованиям, установленным </w:t>
      </w:r>
      <w:hyperlink w:history="0" w:anchor="P49" w:tooltip="б)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подпунктом "б" пункта 2.2</w:t>
        </w:r>
      </w:hyperlink>
      <w:r>
        <w:rPr>
          <w:sz w:val="20"/>
        </w:rPr>
        <w:t xml:space="preserve"> настоящего Порядка, на основании сведений, размещенных на странице "Перечень организаций и физических лиц, в отношении которых имеются сведения о причастности к экстремистской деятельности или терроризму" официального сайта Федеральной службы по финансовому мониторингу;</w:t>
      </w:r>
    </w:p>
    <w:p>
      <w:pPr>
        <w:pStyle w:val="0"/>
        <w:spacing w:before="200" w:lineRule="auto"/>
        <w:ind w:firstLine="540"/>
        <w:jc w:val="both"/>
      </w:pPr>
      <w:r>
        <w:rPr>
          <w:sz w:val="20"/>
        </w:rPr>
        <w:t xml:space="preserve">- требованиям, установленным </w:t>
      </w:r>
      <w:hyperlink w:history="0" w:anchor="P50" w:tooltip="в)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подпунктом "в" пункта 2.2</w:t>
        </w:r>
      </w:hyperlink>
      <w:r>
        <w:rPr>
          <w:sz w:val="20"/>
        </w:rPr>
        <w:t xml:space="preserve"> настоящего Порядка, на основании сведений, размещенных на странице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официального сайта Федеральной службы по финансовому мониторингу;</w:t>
      </w:r>
    </w:p>
    <w:p>
      <w:pPr>
        <w:pStyle w:val="0"/>
        <w:spacing w:before="200" w:lineRule="auto"/>
        <w:ind w:firstLine="540"/>
        <w:jc w:val="both"/>
      </w:pPr>
      <w:r>
        <w:rPr>
          <w:sz w:val="20"/>
        </w:rPr>
        <w:t xml:space="preserve">- требованиям, установленным </w:t>
      </w:r>
      <w:hyperlink w:history="0" w:anchor="P51" w:tooltip="г) участник отбора не получает средства из бюджета Воронежской области на основании иных нормативных правовых актов Воронежской области на цель, установленную пунктом 1.2 настоящего Порядка;">
        <w:r>
          <w:rPr>
            <w:sz w:val="20"/>
            <w:color w:val="0000ff"/>
          </w:rPr>
          <w:t xml:space="preserve">подпунктом "г" пункта 2.2</w:t>
        </w:r>
      </w:hyperlink>
      <w:r>
        <w:rPr>
          <w:sz w:val="20"/>
        </w:rPr>
        <w:t xml:space="preserve"> настоящего Порядка, на основании иных нормативных правовых актов Воронежской области и данных, полученных от главных распорядителей бюджетных средств, предоставляющих из областного бюджета субсидии получателю субсидии;</w:t>
      </w:r>
    </w:p>
    <w:p>
      <w:pPr>
        <w:pStyle w:val="0"/>
        <w:spacing w:before="200" w:lineRule="auto"/>
        <w:ind w:firstLine="540"/>
        <w:jc w:val="both"/>
      </w:pPr>
      <w:r>
        <w:rPr>
          <w:sz w:val="20"/>
        </w:rPr>
        <w:t xml:space="preserve">- требованиям, установленным </w:t>
      </w:r>
      <w:hyperlink w:history="0" w:anchor="P52" w:tooltip="д) участник отбора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подпунктом "д" пункта 2.2</w:t>
        </w:r>
      </w:hyperlink>
      <w:r>
        <w:rPr>
          <w:sz w:val="20"/>
        </w:rPr>
        <w:t xml:space="preserve"> настоящего Порядка, на основании сведений, размещенных на странице "Реестр иностранных агентов" официального сайта Министерства юстиции Российской Федерации;</w:t>
      </w:r>
    </w:p>
    <w:p>
      <w:pPr>
        <w:pStyle w:val="0"/>
        <w:spacing w:before="200" w:lineRule="auto"/>
        <w:ind w:firstLine="540"/>
        <w:jc w:val="both"/>
      </w:pPr>
      <w:r>
        <w:rPr>
          <w:sz w:val="20"/>
        </w:rPr>
        <w:t xml:space="preserve">- требованиям, установленным </w:t>
      </w:r>
      <w:hyperlink w:history="0" w:anchor="P54" w:tooltip="ж) у участника отбора отсутствуют просроченная задолженность по возврату в бюджет Воронежской области иных субсидий, бюджетных инвестиций, а также иная просроченная (неурегулированная) задолженность по денежным обязательствам перед Воронежской областью (за исключением случаев, установленных Правительством Воронежской области);">
        <w:r>
          <w:rPr>
            <w:sz w:val="20"/>
            <w:color w:val="0000ff"/>
          </w:rPr>
          <w:t xml:space="preserve">подпунктом "ж" пункта 2.2</w:t>
        </w:r>
      </w:hyperlink>
      <w:r>
        <w:rPr>
          <w:sz w:val="20"/>
        </w:rPr>
        <w:t xml:space="preserve"> настоящего Порядка, посредством единой системы межведомственного электронного взаимодействия;</w:t>
      </w:r>
    </w:p>
    <w:p>
      <w:pPr>
        <w:pStyle w:val="0"/>
        <w:spacing w:before="200" w:lineRule="auto"/>
        <w:ind w:firstLine="540"/>
        <w:jc w:val="both"/>
      </w:pPr>
      <w:r>
        <w:rPr>
          <w:sz w:val="20"/>
        </w:rPr>
        <w:t xml:space="preserve">- требованиям, установленным </w:t>
      </w:r>
      <w:hyperlink w:history="0" w:anchor="P55" w:tooltip="з) 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w:r>
          <w:rPr>
            <w:sz w:val="20"/>
            <w:color w:val="0000ff"/>
          </w:rPr>
          <w:t xml:space="preserve">подпунктами "з"</w:t>
        </w:r>
      </w:hyperlink>
      <w:r>
        <w:rPr>
          <w:sz w:val="20"/>
        </w:rPr>
        <w:t xml:space="preserve"> и </w:t>
      </w:r>
      <w:hyperlink w:history="0" w:anchor="P56" w:tooltip="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w:r>
          <w:rPr>
            <w:sz w:val="20"/>
            <w:color w:val="0000ff"/>
          </w:rPr>
          <w:t xml:space="preserve">"и" пункта 2.2</w:t>
        </w:r>
      </w:hyperlink>
      <w:r>
        <w:rPr>
          <w:sz w:val="20"/>
        </w:rPr>
        <w:t xml:space="preserve"> настоящего Порядка, на основании сведений, размещенных на странице "Поиск сведений в реестре дисквалифицированных лиц" официального сайта Федеральной налоговой службы.</w:t>
      </w:r>
    </w:p>
    <w:p>
      <w:pPr>
        <w:pStyle w:val="0"/>
        <w:spacing w:before="200" w:lineRule="auto"/>
        <w:ind w:firstLine="540"/>
        <w:jc w:val="both"/>
      </w:pPr>
      <w:r>
        <w:rPr>
          <w:sz w:val="20"/>
        </w:rPr>
        <w:t xml:space="preserve">В случае отсутствия технической возможности осуществления автоматической проверки в системе "Электронный бюджет" подтверждение соответствия участника отбора требованиям и условиям, установленным </w:t>
      </w:r>
      <w:hyperlink w:history="0" w:anchor="P47"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и </w:t>
      </w:r>
      <w:hyperlink w:history="0" w:anchor="P57"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настоящего Порядка,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2.12. Министерство на этапе приема заявок принимает решение о возврате заявки на доработку при наличии соответствующих оснований.</w:t>
      </w:r>
    </w:p>
    <w:p>
      <w:pPr>
        <w:pStyle w:val="0"/>
        <w:spacing w:before="200" w:lineRule="auto"/>
        <w:ind w:firstLine="540"/>
        <w:jc w:val="both"/>
      </w:pPr>
      <w:r>
        <w:rPr>
          <w:sz w:val="20"/>
        </w:rPr>
        <w:t xml:space="preserve">Решение о возврате на доработку принимается в равной мере ко всем участникам отбора, при рассмотрении заявок которых выявлены основания для их возврата на доработку, а также доводится до участников отбора с использованием системы "Электронный бюджет" с указанием оснований для возврата заявки, а также положений заявки, нуждающихся в доработке.</w:t>
      </w:r>
    </w:p>
    <w:p>
      <w:pPr>
        <w:pStyle w:val="0"/>
        <w:spacing w:before="200" w:lineRule="auto"/>
        <w:ind w:firstLine="540"/>
        <w:jc w:val="both"/>
      </w:pPr>
      <w:r>
        <w:rPr>
          <w:sz w:val="20"/>
        </w:rPr>
        <w:t xml:space="preserve">Участник отбора в течение 2 рабочих дней после возврата его заявки на доработку, но не позднее даты окончания приема заявок должен направить скорректированную заявку в порядке, аналогичном порядку подачи заявки.</w:t>
      </w:r>
    </w:p>
    <w:p>
      <w:pPr>
        <w:pStyle w:val="0"/>
        <w:spacing w:before="200" w:lineRule="auto"/>
        <w:ind w:firstLine="540"/>
        <w:jc w:val="both"/>
      </w:pPr>
      <w:r>
        <w:rPr>
          <w:sz w:val="20"/>
        </w:rPr>
        <w:t xml:space="preserve">Основаниями для возврата заявки на доработку являются:</w:t>
      </w:r>
    </w:p>
    <w:p>
      <w:pPr>
        <w:pStyle w:val="0"/>
        <w:spacing w:before="200" w:lineRule="auto"/>
        <w:ind w:firstLine="540"/>
        <w:jc w:val="both"/>
      </w:pPr>
      <w:r>
        <w:rPr>
          <w:sz w:val="20"/>
        </w:rPr>
        <w:t xml:space="preserve">- непредставление (представление не в полном объеме) документов, указанных в настоящем Порядке;</w:t>
      </w:r>
    </w:p>
    <w:p>
      <w:pPr>
        <w:pStyle w:val="0"/>
        <w:spacing w:before="200" w:lineRule="auto"/>
        <w:ind w:firstLine="540"/>
        <w:jc w:val="both"/>
      </w:pPr>
      <w:r>
        <w:rPr>
          <w:sz w:val="20"/>
        </w:rPr>
        <w:t xml:space="preserve">- несоответствие представленных участником отбора заявок и (или) документов требованиям, определенным настоящим Порядком;</w:t>
      </w:r>
    </w:p>
    <w:p>
      <w:pPr>
        <w:pStyle w:val="0"/>
        <w:spacing w:before="200" w:lineRule="auto"/>
        <w:ind w:firstLine="540"/>
        <w:jc w:val="both"/>
      </w:pPr>
      <w:r>
        <w:rPr>
          <w:sz w:val="20"/>
        </w:rPr>
        <w:t xml:space="preserve">- арифметические ошибки, описки, опечатки, недостоверность информации, содержащейся в документах, представленных участником отбора.</w:t>
      </w:r>
    </w:p>
    <w:p>
      <w:pPr>
        <w:pStyle w:val="0"/>
        <w:spacing w:before="200" w:lineRule="auto"/>
        <w:ind w:firstLine="540"/>
        <w:jc w:val="both"/>
      </w:pPr>
      <w:r>
        <w:rPr>
          <w:sz w:val="20"/>
        </w:rPr>
        <w:t xml:space="preserve">2.13. Не позднее 1 рабочего дня, следующего за днем окончания приема заявок, на едином портале автоматически формируется протокол вскрытия заявок, который подписывается усиленной квалифицированной электронной подписью министра культуры Воронежской области в системе "Электронный бюджет" и размещается на едином портале не позднее 1-го рабочего дня, следующего за днем его подписания.</w:t>
      </w:r>
    </w:p>
    <w:bookmarkStart w:id="125" w:name="P125"/>
    <w:bookmarkEnd w:id="125"/>
    <w:p>
      <w:pPr>
        <w:pStyle w:val="0"/>
        <w:spacing w:before="200" w:lineRule="auto"/>
        <w:ind w:firstLine="540"/>
        <w:jc w:val="both"/>
      </w:pPr>
      <w:r>
        <w:rPr>
          <w:sz w:val="20"/>
        </w:rPr>
        <w:t xml:space="preserve">2.14. Министерство в течение 10 рабочих дней с даты окончания приема заявок рассматривает заявки на предмет соответствия требованиям и условиям, установленным </w:t>
      </w:r>
      <w:hyperlink w:history="0" w:anchor="P47"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w:t>
      </w:r>
      <w:hyperlink w:history="0" w:anchor="P57"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настоящего Порядка.</w:t>
      </w:r>
    </w:p>
    <w:p>
      <w:pPr>
        <w:pStyle w:val="0"/>
        <w:spacing w:before="200" w:lineRule="auto"/>
        <w:ind w:firstLine="540"/>
        <w:jc w:val="both"/>
      </w:pPr>
      <w:r>
        <w:rPr>
          <w:sz w:val="20"/>
        </w:rPr>
        <w:t xml:space="preserve">Заявка признается надлежащей, если она соответствует требованиям и условиям, указанным в объявлении о проведении отбора, и отсутствуют основания для ее отклонения.</w:t>
      </w:r>
    </w:p>
    <w:p>
      <w:pPr>
        <w:pStyle w:val="0"/>
        <w:spacing w:before="200" w:lineRule="auto"/>
        <w:ind w:firstLine="540"/>
        <w:jc w:val="both"/>
      </w:pPr>
      <w:r>
        <w:rPr>
          <w:sz w:val="20"/>
        </w:rPr>
        <w:t xml:space="preserve">2.15. Основаниями для отклонения заявки участника отбора являются:</w:t>
      </w:r>
    </w:p>
    <w:p>
      <w:pPr>
        <w:pStyle w:val="0"/>
        <w:spacing w:before="200" w:lineRule="auto"/>
        <w:ind w:firstLine="540"/>
        <w:jc w:val="both"/>
      </w:pPr>
      <w:r>
        <w:rPr>
          <w:sz w:val="20"/>
        </w:rPr>
        <w:t xml:space="preserve">- несоответствие участника отбора требованиям и условиям, установленным </w:t>
      </w:r>
      <w:hyperlink w:history="0" w:anchor="P47"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и </w:t>
      </w:r>
      <w:hyperlink w:history="0" w:anchor="P57"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настоящего Порядка;</w:t>
      </w:r>
    </w:p>
    <w:p>
      <w:pPr>
        <w:pStyle w:val="0"/>
        <w:spacing w:before="200" w:lineRule="auto"/>
        <w:ind w:firstLine="540"/>
        <w:jc w:val="both"/>
      </w:pPr>
      <w:r>
        <w:rPr>
          <w:sz w:val="20"/>
        </w:rPr>
        <w:t xml:space="preserve">- непредставление (представление не в полном объеме) документов, указанных в объявлении о проведении отбора, предусмотренных настоящим Порядком;</w:t>
      </w:r>
    </w:p>
    <w:p>
      <w:pPr>
        <w:pStyle w:val="0"/>
        <w:spacing w:before="200" w:lineRule="auto"/>
        <w:ind w:firstLine="540"/>
        <w:jc w:val="both"/>
      </w:pPr>
      <w:r>
        <w:rPr>
          <w:sz w:val="20"/>
        </w:rPr>
        <w:t xml:space="preserve">-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 Порядком;</w:t>
      </w:r>
    </w:p>
    <w:p>
      <w:pPr>
        <w:pStyle w:val="0"/>
        <w:spacing w:before="200" w:lineRule="auto"/>
        <w:ind w:firstLine="540"/>
        <w:jc w:val="both"/>
      </w:pPr>
      <w:r>
        <w:rPr>
          <w:sz w:val="20"/>
        </w:rPr>
        <w:t xml:space="preserve">-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 и условиям;</w:t>
      </w:r>
    </w:p>
    <w:p>
      <w:pPr>
        <w:pStyle w:val="0"/>
        <w:spacing w:before="200" w:lineRule="auto"/>
        <w:ind w:firstLine="540"/>
        <w:jc w:val="both"/>
      </w:pPr>
      <w:r>
        <w:rPr>
          <w:sz w:val="20"/>
        </w:rPr>
        <w:t xml:space="preserve">- подача участником отбора заявки после даты и (или) времени, определенных для подачи заявок.</w:t>
      </w:r>
    </w:p>
    <w:p>
      <w:pPr>
        <w:pStyle w:val="0"/>
        <w:spacing w:before="200" w:lineRule="auto"/>
        <w:ind w:firstLine="540"/>
        <w:jc w:val="both"/>
      </w:pPr>
      <w:r>
        <w:rPr>
          <w:sz w:val="20"/>
        </w:rPr>
        <w:t xml:space="preserve">2.16. Решение о соответствии заявки требованиям и условиям, указанным в объявлении о проведении отбора, принимается Министерством не позднее 10 рабочих дней, следующих за днем окончания подачи заявок, путем проставления соответствующей отметки в системе "Электронный бюджет".</w:t>
      </w:r>
    </w:p>
    <w:p>
      <w:pPr>
        <w:pStyle w:val="0"/>
        <w:spacing w:before="200" w:lineRule="auto"/>
        <w:ind w:firstLine="540"/>
        <w:jc w:val="both"/>
      </w:pPr>
      <w:r>
        <w:rPr>
          <w:sz w:val="20"/>
        </w:rPr>
        <w:t xml:space="preserve">Заявка отклоняется Министерством в случае наличия оснований для отклонения заявки путем проставления соответствующей отметки в системе "Электронный бюджет".</w:t>
      </w:r>
    </w:p>
    <w:p>
      <w:pPr>
        <w:pStyle w:val="0"/>
        <w:spacing w:before="200" w:lineRule="auto"/>
        <w:ind w:firstLine="540"/>
        <w:jc w:val="both"/>
      </w:pPr>
      <w:r>
        <w:rPr>
          <w:sz w:val="20"/>
        </w:rPr>
        <w:t xml:space="preserve">Поступившие заявки ранжируются исходя из очередности поступления заявок.</w:t>
      </w:r>
    </w:p>
    <w:p>
      <w:pPr>
        <w:pStyle w:val="0"/>
        <w:spacing w:before="200" w:lineRule="auto"/>
        <w:ind w:firstLine="540"/>
        <w:jc w:val="both"/>
      </w:pPr>
      <w:r>
        <w:rPr>
          <w:sz w:val="20"/>
        </w:rPr>
        <w:t xml:space="preserve">На основании результатов рассмотрения заявок на едином портале автоматически формируется протокол рассмотрения заявок, который подписывается усиленной квалифицированной электронной подписью министра культуры Воронежской области в системе "Электронный бюджет" и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В случае отсутствия заявок отбор признается несостоявшимся.</w:t>
      </w:r>
    </w:p>
    <w:bookmarkStart w:id="138" w:name="P138"/>
    <w:bookmarkEnd w:id="138"/>
    <w:p>
      <w:pPr>
        <w:pStyle w:val="0"/>
        <w:spacing w:before="200" w:lineRule="auto"/>
        <w:ind w:firstLine="540"/>
        <w:jc w:val="both"/>
      </w:pPr>
      <w:r>
        <w:rPr>
          <w:sz w:val="20"/>
        </w:rPr>
        <w:t xml:space="preserve">2.17. Принятые заявки с прилагаемыми к ним документами подлежат оценке по </w:t>
      </w:r>
      <w:hyperlink w:history="0" w:anchor="P368" w:tooltip="Критерии оценки заявки участников отбора">
        <w:r>
          <w:rPr>
            <w:sz w:val="20"/>
            <w:color w:val="0000ff"/>
          </w:rPr>
          <w:t xml:space="preserve">критериям</w:t>
        </w:r>
      </w:hyperlink>
      <w:r>
        <w:rPr>
          <w:sz w:val="20"/>
        </w:rPr>
        <w:t xml:space="preserve">, установленным в приложении N 3 к настоящему Порядку (далее - критерии оценки), в течение 20 рабочих дней с даты окончания приема заявок.</w:t>
      </w:r>
    </w:p>
    <w:p>
      <w:pPr>
        <w:pStyle w:val="0"/>
        <w:spacing w:before="200" w:lineRule="auto"/>
        <w:ind w:firstLine="540"/>
        <w:jc w:val="both"/>
      </w:pPr>
      <w:r>
        <w:rPr>
          <w:sz w:val="20"/>
        </w:rPr>
        <w:t xml:space="preserve">Начисление баллов по критериям оценки осуществляется с использованием 100-балльной шкалы оценки.</w:t>
      </w:r>
    </w:p>
    <w:p>
      <w:pPr>
        <w:pStyle w:val="0"/>
        <w:spacing w:before="200" w:lineRule="auto"/>
        <w:ind w:firstLine="540"/>
        <w:jc w:val="both"/>
      </w:pPr>
      <w:r>
        <w:rPr>
          <w:sz w:val="20"/>
        </w:rPr>
        <w:t xml:space="preserve">Сумма величин значимости всех применяемых критериев оценки составляет 100%.</w:t>
      </w:r>
    </w:p>
    <w:p>
      <w:pPr>
        <w:pStyle w:val="0"/>
        <w:spacing w:before="200" w:lineRule="auto"/>
        <w:ind w:firstLine="540"/>
        <w:jc w:val="both"/>
      </w:pPr>
      <w:r>
        <w:rPr>
          <w:sz w:val="20"/>
        </w:rPr>
        <w:t xml:space="preserve">В зависимости от количества набранных баллов формируется рейтинг и присваиваются порядковые номера: занятие соответствующей позиции производится по убыванию количества набранных баллов от большего к меньшему. В случае равного количества набранных баллов позиция в рейтинге определяется с учетом очередности поступления заявок.</w:t>
      </w:r>
    </w:p>
    <w:bookmarkStart w:id="142" w:name="P142"/>
    <w:bookmarkEnd w:id="142"/>
    <w:p>
      <w:pPr>
        <w:pStyle w:val="0"/>
        <w:spacing w:before="200" w:lineRule="auto"/>
        <w:ind w:firstLine="540"/>
        <w:jc w:val="both"/>
      </w:pPr>
      <w:r>
        <w:rPr>
          <w:sz w:val="20"/>
        </w:rPr>
        <w:t xml:space="preserve">2.18. С целью проведения оценки представленных участниками отбора программ (проектов) создается комиссия по рассмотрению заявок и оценке программ (проектов) участников отбора для предоставления гранта (далее - комиссия), состав которой утверждается приказом Министерства.</w:t>
      </w:r>
    </w:p>
    <w:p>
      <w:pPr>
        <w:pStyle w:val="0"/>
        <w:spacing w:before="200" w:lineRule="auto"/>
        <w:ind w:firstLine="540"/>
        <w:jc w:val="both"/>
      </w:pPr>
      <w:r>
        <w:rPr>
          <w:sz w:val="20"/>
        </w:rPr>
        <w:t xml:space="preserve">Комиссия создается в составе не менее 7 человек. Число членов комиссии должно быть нечетным.</w:t>
      </w:r>
    </w:p>
    <w:p>
      <w:pPr>
        <w:pStyle w:val="0"/>
        <w:spacing w:before="200" w:lineRule="auto"/>
        <w:ind w:firstLine="540"/>
        <w:jc w:val="both"/>
      </w:pPr>
      <w:r>
        <w:rPr>
          <w:sz w:val="20"/>
        </w:rPr>
        <w:t xml:space="preserve">Членами комиссии могут быть представители государственных (муниципальных) учреждений и общественных организаций (объединений), осуществляющих деятельность в области культуры и искусства, образовательных и научных организаций, обладающих познаниями в сфере культуры и искусства, Общественного совета при Министерстве, а также сотрудники Министерства.</w:t>
      </w:r>
    </w:p>
    <w:p>
      <w:pPr>
        <w:pStyle w:val="0"/>
        <w:spacing w:before="200" w:lineRule="auto"/>
        <w:ind w:firstLine="540"/>
        <w:jc w:val="both"/>
      </w:pPr>
      <w:r>
        <w:rPr>
          <w:sz w:val="20"/>
        </w:rPr>
        <w:t xml:space="preserve">Министерство осуществляет организационное обеспечение деятельности комиссии.</w:t>
      </w:r>
    </w:p>
    <w:p>
      <w:pPr>
        <w:pStyle w:val="0"/>
        <w:spacing w:before="200" w:lineRule="auto"/>
        <w:ind w:firstLine="540"/>
        <w:jc w:val="both"/>
      </w:pPr>
      <w:r>
        <w:rPr>
          <w:sz w:val="20"/>
        </w:rPr>
        <w:t xml:space="preserve">Оценка программ (проектов) участников отбора осуществляется комиссией в соответствии с </w:t>
      </w:r>
      <w:hyperlink w:history="0" w:anchor="P138" w:tooltip="2.17. Принятые заявки с прилагаемыми к ним документами подлежат оценке по критериям, установленным в приложении N 3 к настоящему Порядку (далее - критерии оценки), в течение 20 рабочих дней с даты окончания приема заявок.">
        <w:r>
          <w:rPr>
            <w:sz w:val="20"/>
            <w:color w:val="0000ff"/>
          </w:rPr>
          <w:t xml:space="preserve">пунктом 2.17</w:t>
        </w:r>
      </w:hyperlink>
      <w:r>
        <w:rPr>
          <w:sz w:val="20"/>
        </w:rPr>
        <w:t xml:space="preserve"> настоящего Порядка.</w:t>
      </w:r>
    </w:p>
    <w:p>
      <w:pPr>
        <w:pStyle w:val="0"/>
        <w:spacing w:before="200" w:lineRule="auto"/>
        <w:ind w:firstLine="540"/>
        <w:jc w:val="both"/>
      </w:pPr>
      <w:r>
        <w:rPr>
          <w:sz w:val="20"/>
        </w:rPr>
        <w:t xml:space="preserve">На основании результатов определения победителя отбора на едином портале автоматически формируется протокол подведения итогов отбора, который подписывается усиленной квалифицированной электронной подписью министра культуры Воронежской области в системе "Электронный бюджет" и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2.19. Протокол подведения итогов размещается на официальной странице Министерства в информационной системе "Портал Воронежской области в сети Интернет" не позднее 3 рабочих дней, следующих за днем подписания протокола подведения итогов отбора, и должен содержать следующие сведения:</w:t>
      </w:r>
    </w:p>
    <w:p>
      <w:pPr>
        <w:pStyle w:val="0"/>
        <w:spacing w:before="200" w:lineRule="auto"/>
        <w:ind w:firstLine="540"/>
        <w:jc w:val="both"/>
      </w:pPr>
      <w:r>
        <w:rPr>
          <w:sz w:val="20"/>
        </w:rPr>
        <w:t xml:space="preserve">- дата, время и место проведения рассмотрения заявок;</w:t>
      </w:r>
    </w:p>
    <w:p>
      <w:pPr>
        <w:pStyle w:val="0"/>
        <w:spacing w:before="200" w:lineRule="auto"/>
        <w:ind w:firstLine="540"/>
        <w:jc w:val="both"/>
      </w:pPr>
      <w:r>
        <w:rPr>
          <w:sz w:val="20"/>
        </w:rPr>
        <w:t xml:space="preserve">- информация об участниках отбора, заявки которых были рассмотрены;</w:t>
      </w:r>
    </w:p>
    <w:p>
      <w:pPr>
        <w:pStyle w:val="0"/>
        <w:spacing w:before="200" w:lineRule="auto"/>
        <w:ind w:firstLine="540"/>
        <w:jc w:val="both"/>
      </w:pPr>
      <w:r>
        <w:rPr>
          <w:sz w:val="20"/>
        </w:rPr>
        <w:t xml:space="preserve">-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pPr>
        <w:pStyle w:val="0"/>
        <w:spacing w:before="200" w:lineRule="auto"/>
        <w:ind w:firstLine="540"/>
        <w:jc w:val="both"/>
      </w:pPr>
      <w:r>
        <w:rPr>
          <w:sz w:val="20"/>
        </w:rPr>
        <w:t xml:space="preserve">- последовательность оценки заявок, присвоенные заявкам значения по каждому из предусмотренных критериев оценки заявок, принятое на основании результатов оценки заявок решение о присвоении таким заявкам порядковых номеров;</w:t>
      </w:r>
    </w:p>
    <w:p>
      <w:pPr>
        <w:pStyle w:val="0"/>
        <w:spacing w:before="200" w:lineRule="auto"/>
        <w:ind w:firstLine="540"/>
        <w:jc w:val="both"/>
      </w:pPr>
      <w:r>
        <w:rPr>
          <w:sz w:val="20"/>
        </w:rPr>
        <w:t xml:space="preserve">- наименование получателя гранта, с которым заключается Соглашение, и размер предоставляемого ему гранта.</w:t>
      </w:r>
    </w:p>
    <w:p>
      <w:pPr>
        <w:pStyle w:val="0"/>
        <w:spacing w:before="200" w:lineRule="auto"/>
        <w:ind w:firstLine="540"/>
        <w:jc w:val="both"/>
      </w:pPr>
      <w:r>
        <w:rPr>
          <w:sz w:val="20"/>
        </w:rPr>
        <w:t xml:space="preserve">В протокол подведения итогов отбора могут быть внесены изменения не позднее 10 календарных дней со дня подписания его первой версии путем формирования новой версии протокола с указанием причин внесения изменений.</w:t>
      </w:r>
    </w:p>
    <w:p>
      <w:pPr>
        <w:pStyle w:val="0"/>
        <w:spacing w:before="200" w:lineRule="auto"/>
        <w:ind w:firstLine="540"/>
        <w:jc w:val="both"/>
      </w:pPr>
      <w:r>
        <w:rPr>
          <w:sz w:val="20"/>
        </w:rPr>
        <w:t xml:space="preserve">В случае внесения изменений в закон Воронежской области об областном бюджете на соответствующий финансовый год и на плановый период в части исключения предоставления субсидии Министерство в течение 5 рабочих дней отменяет проведение отбора.</w:t>
      </w:r>
    </w:p>
    <w:p>
      <w:pPr>
        <w:pStyle w:val="0"/>
        <w:spacing w:before="200" w:lineRule="auto"/>
        <w:ind w:firstLine="540"/>
        <w:jc w:val="both"/>
      </w:pPr>
      <w:r>
        <w:rPr>
          <w:sz w:val="20"/>
        </w:rPr>
        <w:t xml:space="preserve">Министерством формируется объявление об отмене проведения отбора, которое размещается тем же способом, каким размещается объявление о проведении отбора.</w:t>
      </w:r>
    </w:p>
    <w:bookmarkStart w:id="157" w:name="P157"/>
    <w:bookmarkEnd w:id="157"/>
    <w:p>
      <w:pPr>
        <w:pStyle w:val="0"/>
        <w:spacing w:before="200" w:lineRule="auto"/>
        <w:ind w:firstLine="540"/>
        <w:jc w:val="both"/>
      </w:pPr>
      <w:r>
        <w:rPr>
          <w:sz w:val="20"/>
        </w:rPr>
        <w:t xml:space="preserve">2.20. Грант предоставляется в целях финансового обеспечения следующих направлений расходов, связанных с реализацией программы (проекта) в сфере театрального искусства:</w:t>
      </w:r>
    </w:p>
    <w:p>
      <w:pPr>
        <w:pStyle w:val="0"/>
        <w:spacing w:before="200" w:lineRule="auto"/>
        <w:ind w:firstLine="540"/>
        <w:jc w:val="both"/>
      </w:pPr>
      <w:r>
        <w:rPr>
          <w:sz w:val="20"/>
        </w:rPr>
        <w:t xml:space="preserve">- оплата труда работников, а также иных исполнителей, привлекаемых к реализации программы (проекта);</w:t>
      </w:r>
    </w:p>
    <w:p>
      <w:pPr>
        <w:pStyle w:val="0"/>
        <w:spacing w:before="200" w:lineRule="auto"/>
        <w:ind w:firstLine="540"/>
        <w:jc w:val="both"/>
      </w:pPr>
      <w:r>
        <w:rPr>
          <w:sz w:val="20"/>
        </w:rPr>
        <w:t xml:space="preserve">- оплата авторского вознаграждения и гонораров творческим работникам, привлекаемым к реализации программы (проекта);</w:t>
      </w:r>
    </w:p>
    <w:p>
      <w:pPr>
        <w:pStyle w:val="0"/>
        <w:spacing w:before="200" w:lineRule="auto"/>
        <w:ind w:firstLine="540"/>
        <w:jc w:val="both"/>
      </w:pPr>
      <w:r>
        <w:rPr>
          <w:sz w:val="20"/>
        </w:rPr>
        <w:t xml:space="preserve">- оплата договоров на право показа и исполнения произведений, а также на передачу прав использования аудиовизуальной продукции;</w:t>
      </w:r>
    </w:p>
    <w:p>
      <w:pPr>
        <w:pStyle w:val="0"/>
        <w:spacing w:before="200" w:lineRule="auto"/>
        <w:ind w:firstLine="540"/>
        <w:jc w:val="both"/>
      </w:pPr>
      <w:r>
        <w:rPr>
          <w:sz w:val="20"/>
        </w:rPr>
        <w:t xml:space="preserve">- обеспечение условий по приему и направлению участников программы (проекта), включая наем жилого помещения, проезд, питание, выездные документы;</w:t>
      </w:r>
    </w:p>
    <w:p>
      <w:pPr>
        <w:pStyle w:val="0"/>
        <w:spacing w:before="200" w:lineRule="auto"/>
        <w:ind w:firstLine="540"/>
        <w:jc w:val="both"/>
      </w:pPr>
      <w:r>
        <w:rPr>
          <w:sz w:val="20"/>
        </w:rPr>
        <w:t xml:space="preserve">- обеспечение условий по транспортировке декораций, музыкальных инструментов и костюмов;</w:t>
      </w:r>
    </w:p>
    <w:p>
      <w:pPr>
        <w:pStyle w:val="0"/>
        <w:spacing w:before="200" w:lineRule="auto"/>
        <w:ind w:firstLine="540"/>
        <w:jc w:val="both"/>
      </w:pPr>
      <w:r>
        <w:rPr>
          <w:sz w:val="20"/>
        </w:rPr>
        <w:t xml:space="preserve">- оплата расходов на рекламно-информационное обеспечение (включая изготовление информационно-методических, рекламных, текстовых материалов, фото- и видеоматериалов, размещение соответствующих материалов в средствах массовой информации);</w:t>
      </w:r>
    </w:p>
    <w:p>
      <w:pPr>
        <w:pStyle w:val="0"/>
        <w:spacing w:before="200" w:lineRule="auto"/>
        <w:ind w:firstLine="540"/>
        <w:jc w:val="both"/>
      </w:pPr>
      <w:r>
        <w:rPr>
          <w:sz w:val="20"/>
        </w:rPr>
        <w:t xml:space="preserve">- оплата работ (услуг) по обеспечению программы (проекта) декорациями, сценическими, экспозиционными и другими конструкциями (включая приобретение, аренду, изготовление, монтаж (демонтаж), доставку и обслуживание);</w:t>
      </w:r>
    </w:p>
    <w:p>
      <w:pPr>
        <w:pStyle w:val="0"/>
        <w:spacing w:before="200" w:lineRule="auto"/>
        <w:ind w:firstLine="540"/>
        <w:jc w:val="both"/>
      </w:pPr>
      <w:r>
        <w:rPr>
          <w:sz w:val="20"/>
        </w:rPr>
        <w:t xml:space="preserve">- оплата работ (услуг) по обеспечению программы (проекта) реквизитом, бутафорией, гримом, постижерскими изделиями, театральными куклами, сценическими костюмами (в том числе головными уборами и обувью) (включая приобретение, аренду и изготовление);</w:t>
      </w:r>
    </w:p>
    <w:p>
      <w:pPr>
        <w:pStyle w:val="0"/>
        <w:spacing w:before="200" w:lineRule="auto"/>
        <w:ind w:firstLine="540"/>
        <w:jc w:val="both"/>
      </w:pPr>
      <w:r>
        <w:rPr>
          <w:sz w:val="20"/>
        </w:rPr>
        <w:t xml:space="preserve">- арендная плата за пользование имуществом, в том числе оплата аренды помещений и сценических площадок для реализации программы (проекта);</w:t>
      </w:r>
    </w:p>
    <w:p>
      <w:pPr>
        <w:pStyle w:val="0"/>
        <w:spacing w:before="200" w:lineRule="auto"/>
        <w:ind w:firstLine="540"/>
        <w:jc w:val="both"/>
      </w:pPr>
      <w:r>
        <w:rPr>
          <w:sz w:val="20"/>
        </w:rPr>
        <w:t xml:space="preserve">- оплата расходов на содержание арендуемых помещений и сценических площадок, в том числе расходов на коммунальные услуги;</w:t>
      </w:r>
    </w:p>
    <w:p>
      <w:pPr>
        <w:pStyle w:val="0"/>
        <w:spacing w:before="200" w:lineRule="auto"/>
        <w:ind w:firstLine="540"/>
        <w:jc w:val="both"/>
      </w:pPr>
      <w:r>
        <w:rPr>
          <w:sz w:val="20"/>
        </w:rPr>
        <w:t xml:space="preserve">- приобретение и (или) аренда технического и технологического оборудования, не являющегося капитальным вложением (включая доставку, монтаж (демонтаж), погрузочно-разгрузочные работы и обслуживание), необходимого для осуществления программы (проекта) (не более 30 процентов размера гранта в случае приобретения оборудования), и приобретение и (или) аренда музыкальных инструментов, необходимых для осуществления программы (проекта) (не более 10 процентов размера гранта);</w:t>
      </w:r>
    </w:p>
    <w:p>
      <w:pPr>
        <w:pStyle w:val="0"/>
        <w:spacing w:before="200" w:lineRule="auto"/>
        <w:ind w:firstLine="540"/>
        <w:jc w:val="both"/>
      </w:pPr>
      <w:r>
        <w:rPr>
          <w:sz w:val="20"/>
        </w:rPr>
        <w:t xml:space="preserve">- уплата налогов, сборов и иных обязательных платежей в порядке, установленном законодательством Российской Федерации.</w:t>
      </w:r>
    </w:p>
    <w:p>
      <w:pPr>
        <w:pStyle w:val="0"/>
        <w:spacing w:before="200" w:lineRule="auto"/>
        <w:ind w:firstLine="540"/>
        <w:jc w:val="both"/>
      </w:pPr>
      <w:r>
        <w:rPr>
          <w:sz w:val="20"/>
        </w:rPr>
        <w:t xml:space="preserve">2.21. За счет предоставленного гранта получатель гранта не вправе осуществлять расходы, которые не имеют прямого и непосредственного отношения к реализации мероприятий программы (проекта).</w:t>
      </w:r>
    </w:p>
    <w:bookmarkStart w:id="171" w:name="P171"/>
    <w:bookmarkEnd w:id="171"/>
    <w:p>
      <w:pPr>
        <w:pStyle w:val="0"/>
        <w:spacing w:before="200" w:lineRule="auto"/>
        <w:ind w:firstLine="540"/>
        <w:jc w:val="both"/>
      </w:pPr>
      <w:r>
        <w:rPr>
          <w:sz w:val="20"/>
        </w:rPr>
        <w:t xml:space="preserve">2.22. Размер предоставляемого гранта составляет размер бюджетных ассигнований, предусмотренных законом Воронежской области об областном бюджете на соответствующий финансовый год и на плановый период.</w:t>
      </w:r>
    </w:p>
    <w:p>
      <w:pPr>
        <w:pStyle w:val="0"/>
        <w:spacing w:before="200" w:lineRule="auto"/>
        <w:ind w:firstLine="540"/>
        <w:jc w:val="both"/>
      </w:pPr>
      <w:r>
        <w:rPr>
          <w:sz w:val="20"/>
        </w:rPr>
        <w:t xml:space="preserve">Размер гранта, предоставляемого получателю гранта, определяется по следующей формуле:</w:t>
      </w:r>
    </w:p>
    <w:p>
      <w:pPr>
        <w:pStyle w:val="0"/>
        <w:ind w:firstLine="540"/>
        <w:jc w:val="both"/>
      </w:pPr>
      <w:r>
        <w:rPr>
          <w:sz w:val="20"/>
        </w:rPr>
      </w:r>
    </w:p>
    <w:p>
      <w:pPr>
        <w:pStyle w:val="0"/>
        <w:ind w:firstLine="540"/>
        <w:jc w:val="both"/>
      </w:pPr>
      <w:r>
        <w:rPr>
          <w:sz w:val="20"/>
        </w:rPr>
        <w:t xml:space="preserve">Vсубс = (V1 + V2 + V3 + V4 + V5 + V6 + V7 + V8 + V9 + V10 + V11 + V12 + V13), где:</w:t>
      </w:r>
    </w:p>
    <w:p>
      <w:pPr>
        <w:pStyle w:val="0"/>
        <w:ind w:firstLine="540"/>
        <w:jc w:val="both"/>
      </w:pPr>
      <w:r>
        <w:rPr>
          <w:sz w:val="20"/>
        </w:rPr>
      </w:r>
    </w:p>
    <w:p>
      <w:pPr>
        <w:pStyle w:val="0"/>
        <w:ind w:firstLine="540"/>
        <w:jc w:val="both"/>
      </w:pPr>
      <w:r>
        <w:rPr>
          <w:sz w:val="20"/>
        </w:rPr>
        <w:t xml:space="preserve">Vсубс - объем гранта, предоставляемого получателю гранта, тыс. рублей;</w:t>
      </w:r>
    </w:p>
    <w:p>
      <w:pPr>
        <w:pStyle w:val="0"/>
        <w:spacing w:before="200" w:lineRule="auto"/>
        <w:ind w:firstLine="540"/>
        <w:jc w:val="both"/>
      </w:pPr>
      <w:r>
        <w:rPr>
          <w:sz w:val="20"/>
        </w:rPr>
        <w:t xml:space="preserve">V1 - объем средств, которые будут направлены на оплату труда работников, а также иных исполнителей, привлекаемых к реализации программы (проекта), тыс. рублей;</w:t>
      </w:r>
    </w:p>
    <w:p>
      <w:pPr>
        <w:pStyle w:val="0"/>
        <w:spacing w:before="200" w:lineRule="auto"/>
        <w:ind w:firstLine="540"/>
        <w:jc w:val="both"/>
      </w:pPr>
      <w:r>
        <w:rPr>
          <w:sz w:val="20"/>
        </w:rPr>
        <w:t xml:space="preserve">V2 - объем средств, которые будут направлены на оплату труда работников, а также иных исполнителей, привлекаемых к реализации программы (проекта), тыс. рублей;</w:t>
      </w:r>
    </w:p>
    <w:p>
      <w:pPr>
        <w:pStyle w:val="0"/>
        <w:spacing w:before="200" w:lineRule="auto"/>
        <w:ind w:firstLine="540"/>
        <w:jc w:val="both"/>
      </w:pPr>
      <w:r>
        <w:rPr>
          <w:sz w:val="20"/>
        </w:rPr>
        <w:t xml:space="preserve">V3 - объем средств, которые будут направлены на оплату авторского вознаграждения и гонораров творческим работникам, привлекаемым к реализации программы (проекта), тыс. рублей;</w:t>
      </w:r>
    </w:p>
    <w:p>
      <w:pPr>
        <w:pStyle w:val="0"/>
        <w:spacing w:before="200" w:lineRule="auto"/>
        <w:ind w:firstLine="540"/>
        <w:jc w:val="both"/>
      </w:pPr>
      <w:r>
        <w:rPr>
          <w:sz w:val="20"/>
        </w:rPr>
        <w:t xml:space="preserve">V4 - объем средств, которые будут направлены на оплату договоров на право показа и исполнения произведений, а также на передачу прав использования аудиовизуальной продукции, тыс. рублей;</w:t>
      </w:r>
    </w:p>
    <w:p>
      <w:pPr>
        <w:pStyle w:val="0"/>
        <w:spacing w:before="200" w:lineRule="auto"/>
        <w:ind w:firstLine="540"/>
        <w:jc w:val="both"/>
      </w:pPr>
      <w:r>
        <w:rPr>
          <w:sz w:val="20"/>
        </w:rPr>
        <w:t xml:space="preserve">V5 - объем средств, которые будут направлены на обеспечение условий по приему и направлению участников программы (проекта), включая наем жилого помещения, проезд, питание, выездные документы, тыс. рублей;</w:t>
      </w:r>
    </w:p>
    <w:p>
      <w:pPr>
        <w:pStyle w:val="0"/>
        <w:spacing w:before="200" w:lineRule="auto"/>
        <w:ind w:firstLine="540"/>
        <w:jc w:val="both"/>
      </w:pPr>
      <w:r>
        <w:rPr>
          <w:sz w:val="20"/>
        </w:rPr>
        <w:t xml:space="preserve">V6 - объем средств, которые будут направлены на обеспечение условий по транспортировке декораций, музыкальных инструментов и костюмов, тыс. рублей;</w:t>
      </w:r>
    </w:p>
    <w:p>
      <w:pPr>
        <w:pStyle w:val="0"/>
        <w:spacing w:before="200" w:lineRule="auto"/>
        <w:ind w:firstLine="540"/>
        <w:jc w:val="both"/>
      </w:pPr>
      <w:r>
        <w:rPr>
          <w:sz w:val="20"/>
        </w:rPr>
        <w:t xml:space="preserve">V7 - объем средств, которые будут направлены на оплату расходов на рекламно-информационное обеспечение (включая изготовление информационно-методических, рекламных, текстовых материалов, фото- и видеоматериалов, размещение соответствующих материалов в средствах массовой информации), тыс. рублей;</w:t>
      </w:r>
    </w:p>
    <w:p>
      <w:pPr>
        <w:pStyle w:val="0"/>
        <w:spacing w:before="200" w:lineRule="auto"/>
        <w:ind w:firstLine="540"/>
        <w:jc w:val="both"/>
      </w:pPr>
      <w:r>
        <w:rPr>
          <w:sz w:val="20"/>
        </w:rPr>
        <w:t xml:space="preserve">V8 - объем средств, которые будут направлены на оплату работ (услуг) по обеспечению программы (проекта) декорациями, сценическими, экспозиционными и другими конструкциями (включая приобретение, аренду, изготовление, монтаж (демонтаж), доставку и обслуживание), тыс. рублей;</w:t>
      </w:r>
    </w:p>
    <w:p>
      <w:pPr>
        <w:pStyle w:val="0"/>
        <w:spacing w:before="200" w:lineRule="auto"/>
        <w:ind w:firstLine="540"/>
        <w:jc w:val="both"/>
      </w:pPr>
      <w:r>
        <w:rPr>
          <w:sz w:val="20"/>
        </w:rPr>
        <w:t xml:space="preserve">V9 - объем средств, которые будут направлены на оплату работ (услуг) по обеспечению программы (проекта) реквизитом, бутафорией, гримом, постижерскими изделиями, театральными куклами, сценическими костюмами (в том числе головными уборами и обувью) (включая приобретение, аренду и изготовление), тыс. рублей;</w:t>
      </w:r>
    </w:p>
    <w:p>
      <w:pPr>
        <w:pStyle w:val="0"/>
        <w:spacing w:before="200" w:lineRule="auto"/>
        <w:ind w:firstLine="540"/>
        <w:jc w:val="both"/>
      </w:pPr>
      <w:r>
        <w:rPr>
          <w:sz w:val="20"/>
        </w:rPr>
        <w:t xml:space="preserve">V10 - объем средств, которые будут направлены на арендную плату за пользование имуществом, в том числе оплату аренды помещений и сценических площадок для реализации программы (проекта), тыс. рублей;</w:t>
      </w:r>
    </w:p>
    <w:p>
      <w:pPr>
        <w:pStyle w:val="0"/>
        <w:spacing w:before="200" w:lineRule="auto"/>
        <w:ind w:firstLine="540"/>
        <w:jc w:val="both"/>
      </w:pPr>
      <w:r>
        <w:rPr>
          <w:sz w:val="20"/>
        </w:rPr>
        <w:t xml:space="preserve">V11 - объем средств, которые будут направлены на оплату расходов на содержание арендуемых помещений и сценических площадок, в том числе расходов на коммунальные услуги, тыс. рублей;</w:t>
      </w:r>
    </w:p>
    <w:p>
      <w:pPr>
        <w:pStyle w:val="0"/>
        <w:spacing w:before="200" w:lineRule="auto"/>
        <w:ind w:firstLine="540"/>
        <w:jc w:val="both"/>
      </w:pPr>
      <w:r>
        <w:rPr>
          <w:sz w:val="20"/>
        </w:rPr>
        <w:t xml:space="preserve">V12 - объем средств, которые будут направлены на приобретение и (или) аренду технического и технологического оборудования, не являющегося капитальным вложением (включая доставку, монтаж (демонтаж), погрузочно-разгрузочные работы и обслуживание), необходимого для осуществления программы (проекта) (не более 30 процентов размера гранта в случае приобретения оборудования), и приобретение и (или) аренду музыкальных инструментов, необходимых для осуществления программы (проекта) (не более 10 процентов размера гранта), тыс. рублей;</w:t>
      </w:r>
    </w:p>
    <w:p>
      <w:pPr>
        <w:pStyle w:val="0"/>
        <w:spacing w:before="200" w:lineRule="auto"/>
        <w:ind w:firstLine="540"/>
        <w:jc w:val="both"/>
      </w:pPr>
      <w:r>
        <w:rPr>
          <w:sz w:val="20"/>
        </w:rPr>
        <w:t xml:space="preserve">V13 - объем средств, которые будут направлены на уплату налогов, сборов и иных обязательных платежей в порядке, установленном законодательством Российской Федерации, тыс. рублей.</w:t>
      </w:r>
    </w:p>
    <w:p>
      <w:pPr>
        <w:pStyle w:val="0"/>
        <w:spacing w:before="200" w:lineRule="auto"/>
        <w:ind w:firstLine="540"/>
        <w:jc w:val="both"/>
      </w:pPr>
      <w:r>
        <w:rPr>
          <w:sz w:val="20"/>
        </w:rPr>
        <w:t xml:space="preserve">После подписания протокола подведения итогов отбора Министерство издает в течение 3 рабочих дней приказ о предоставлении гранта, содержащий сведения о получателе гранта и размере гранта.</w:t>
      </w:r>
    </w:p>
    <w:p>
      <w:pPr>
        <w:pStyle w:val="0"/>
        <w:spacing w:before="200" w:lineRule="auto"/>
        <w:ind w:firstLine="540"/>
        <w:jc w:val="both"/>
      </w:pPr>
      <w:r>
        <w:rPr>
          <w:sz w:val="20"/>
        </w:rPr>
        <w:t xml:space="preserve">2.23. Основаниями для отказа участнику отбора в предоставлении гранта являются:</w:t>
      </w:r>
    </w:p>
    <w:p>
      <w:pPr>
        <w:pStyle w:val="0"/>
        <w:spacing w:before="200" w:lineRule="auto"/>
        <w:ind w:firstLine="540"/>
        <w:jc w:val="both"/>
      </w:pPr>
      <w:r>
        <w:rPr>
          <w:sz w:val="20"/>
        </w:rPr>
        <w:t xml:space="preserve">- несоответствие участника отбора требованиям и условиям, установленным </w:t>
      </w:r>
      <w:hyperlink w:history="0" w:anchor="P47"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и </w:t>
      </w:r>
      <w:hyperlink w:history="0" w:anchor="P57"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настоящего Порядка;</w:t>
      </w:r>
    </w:p>
    <w:p>
      <w:pPr>
        <w:pStyle w:val="0"/>
        <w:spacing w:before="200" w:lineRule="auto"/>
        <w:ind w:firstLine="540"/>
        <w:jc w:val="both"/>
      </w:pPr>
      <w:r>
        <w:rPr>
          <w:sz w:val="20"/>
        </w:rPr>
        <w:t xml:space="preserve">- установление факта недостоверности представленных участником отбора сведений;</w:t>
      </w:r>
    </w:p>
    <w:p>
      <w:pPr>
        <w:pStyle w:val="0"/>
        <w:spacing w:before="200" w:lineRule="auto"/>
        <w:ind w:firstLine="540"/>
        <w:jc w:val="both"/>
      </w:pPr>
      <w:r>
        <w:rPr>
          <w:sz w:val="20"/>
        </w:rPr>
        <w:t xml:space="preserve">- уклонение получателя гранта от заключения Соглашения в срок, установленный </w:t>
      </w:r>
      <w:hyperlink w:history="0" w:anchor="P198" w:tooltip="2.25. Министерство в течение 15 рабочих дней со дня издания приказа о предоставлении гранта формирует для подписания получателем гранта проект Соглашения в соответствии с типовой формой, утвержденной министерством финансов Воронежской области.">
        <w:r>
          <w:rPr>
            <w:sz w:val="20"/>
            <w:color w:val="0000ff"/>
          </w:rPr>
          <w:t xml:space="preserve">пунктом 2.25</w:t>
        </w:r>
      </w:hyperlink>
      <w:r>
        <w:rPr>
          <w:sz w:val="20"/>
        </w:rPr>
        <w:t xml:space="preserve"> настоящего Порядка;</w:t>
      </w:r>
    </w:p>
    <w:p>
      <w:pPr>
        <w:pStyle w:val="0"/>
        <w:spacing w:before="200" w:lineRule="auto"/>
        <w:ind w:firstLine="540"/>
        <w:jc w:val="both"/>
      </w:pPr>
      <w:r>
        <w:rPr>
          <w:sz w:val="20"/>
        </w:rPr>
        <w:t xml:space="preserve">- отсутствие лимитов бюджетных обязательств на предоставление грантов;</w:t>
      </w:r>
    </w:p>
    <w:p>
      <w:pPr>
        <w:pStyle w:val="0"/>
        <w:spacing w:before="200" w:lineRule="auto"/>
        <w:ind w:firstLine="540"/>
        <w:jc w:val="both"/>
      </w:pPr>
      <w:r>
        <w:rPr>
          <w:sz w:val="20"/>
        </w:rPr>
        <w:t xml:space="preserve">- несоответствие представленных получателем гранта документов требованиям, определенным настоящим Порядком,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2.24. В случае нарушения получателем гранта условий предоставления грантов грант подлежит возврату в областной бюджет в порядке и сроки, которые установлены </w:t>
      </w:r>
      <w:hyperlink w:history="0" w:anchor="P231" w:tooltip="3.7. Возврат остатков гранта, не использованных по истечении срока, осуществляется в порядке, установленном бюджетным законодательством Российской Федерации, в течение 30 календарных дней со дня истечения указанного срока.">
        <w:r>
          <w:rPr>
            <w:sz w:val="20"/>
            <w:color w:val="0000ff"/>
          </w:rPr>
          <w:t xml:space="preserve">пунктом 3.7</w:t>
        </w:r>
      </w:hyperlink>
      <w:r>
        <w:rPr>
          <w:sz w:val="20"/>
        </w:rPr>
        <w:t xml:space="preserve"> настоящего Порядка.</w:t>
      </w:r>
    </w:p>
    <w:bookmarkStart w:id="198" w:name="P198"/>
    <w:bookmarkEnd w:id="198"/>
    <w:p>
      <w:pPr>
        <w:pStyle w:val="0"/>
        <w:spacing w:before="200" w:lineRule="auto"/>
        <w:ind w:firstLine="540"/>
        <w:jc w:val="both"/>
      </w:pPr>
      <w:r>
        <w:rPr>
          <w:sz w:val="20"/>
        </w:rPr>
        <w:t xml:space="preserve">2.25. Министерство в течение 15 рабочих дней со дня издания приказа о предоставлении гранта формирует для подписания получателем гранта проект Соглашения в соответствии с типовой формой, утвержденной министерством финансов Воронежской области.</w:t>
      </w:r>
    </w:p>
    <w:p>
      <w:pPr>
        <w:pStyle w:val="0"/>
        <w:spacing w:before="200" w:lineRule="auto"/>
        <w:ind w:firstLine="540"/>
        <w:jc w:val="both"/>
      </w:pPr>
      <w:r>
        <w:rPr>
          <w:sz w:val="20"/>
        </w:rPr>
        <w:t xml:space="preserve">В случае уменьшения Министерству ранее доведенных лимитов бюджетных обязательств, указанных в </w:t>
      </w:r>
      <w:hyperlink w:history="0" w:anchor="P39" w:tooltip="1.3. Исполнительным органом Воронеж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гранта, является министерство культуры Воронежской области (далее - Министерство).">
        <w:r>
          <w:rPr>
            <w:sz w:val="20"/>
            <w:color w:val="0000ff"/>
          </w:rPr>
          <w:t xml:space="preserve">пункте 1.3</w:t>
        </w:r>
      </w:hyperlink>
      <w:r>
        <w:rPr>
          <w:sz w:val="20"/>
        </w:rPr>
        <w:t xml:space="preserve"> настоящего Порядка, приводящего к невозможности предоставления гранта в размере, определенном в Соглашении, в Соглашение включается условие о согласовании новых условий Соглашения или о расторжении Соглашения при недостижении согласия по новым условиям.</w:t>
      </w:r>
    </w:p>
    <w:p>
      <w:pPr>
        <w:pStyle w:val="0"/>
        <w:spacing w:before="200" w:lineRule="auto"/>
        <w:ind w:firstLine="540"/>
        <w:jc w:val="both"/>
      </w:pPr>
      <w:r>
        <w:rPr>
          <w:sz w:val="20"/>
        </w:rPr>
        <w:t xml:space="preserve">Изменение Соглашения или при необходимости расторжение Соглашения осуществляется по соглашению сторон и оформляется в виде дополнительного соглашения к нему, являющегося его неотъемлемой частью, в соответствии с типовой формой, установленной министерством финансов Воронежской области.</w:t>
      </w:r>
    </w:p>
    <w:p>
      <w:pPr>
        <w:pStyle w:val="0"/>
        <w:spacing w:before="200" w:lineRule="auto"/>
        <w:ind w:firstLine="540"/>
        <w:jc w:val="both"/>
      </w:pPr>
      <w:r>
        <w:rPr>
          <w:sz w:val="20"/>
        </w:rPr>
        <w:t xml:space="preserve">Получатель гранта подписывает проект Соглашения в срок, указанный в пункте 2.25 настоящего Порядка.</w:t>
      </w:r>
    </w:p>
    <w:p>
      <w:pPr>
        <w:pStyle w:val="0"/>
        <w:spacing w:before="200" w:lineRule="auto"/>
        <w:ind w:firstLine="540"/>
        <w:jc w:val="both"/>
      </w:pPr>
      <w:r>
        <w:rPr>
          <w:sz w:val="20"/>
        </w:rPr>
        <w:t xml:space="preserve">В случае если получатель гранта в вышеуказанный срок не подписал проект Соглашения, получатель гранта признается уклонившимся от его заключения.</w:t>
      </w:r>
    </w:p>
    <w:p>
      <w:pPr>
        <w:pStyle w:val="0"/>
        <w:spacing w:before="200" w:lineRule="auto"/>
        <w:ind w:firstLine="540"/>
        <w:jc w:val="both"/>
      </w:pPr>
      <w:r>
        <w:rPr>
          <w:sz w:val="20"/>
        </w:rPr>
        <w:t xml:space="preserve">2.26. Срок реализации программы (проекта) не должен превышать 12 месяцев со дня предоставления гранта.</w:t>
      </w:r>
    </w:p>
    <w:p>
      <w:pPr>
        <w:pStyle w:val="0"/>
        <w:spacing w:before="200" w:lineRule="auto"/>
        <w:ind w:firstLine="540"/>
        <w:jc w:val="both"/>
      </w:pPr>
      <w:r>
        <w:rPr>
          <w:sz w:val="20"/>
        </w:rPr>
        <w:t xml:space="preserve">2.27. Перечисление гранта осуществляется Министерством в соответствии с заключенным Соглашением на отдельные расчетные или корреспондентские счета, открытые получателем гранта в учреждениях Центрального банка Российской Федерации или кредитных организациях, если иное не установлено законодательством Российской Федерации.</w:t>
      </w:r>
    </w:p>
    <w:p>
      <w:pPr>
        <w:pStyle w:val="0"/>
        <w:spacing w:before="200" w:lineRule="auto"/>
        <w:ind w:firstLine="540"/>
        <w:jc w:val="both"/>
      </w:pPr>
      <w:r>
        <w:rPr>
          <w:sz w:val="20"/>
        </w:rPr>
        <w:t xml:space="preserve">В целях заключения Соглашения с получателем гранта уточняется 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(при необходимости).</w:t>
      </w:r>
    </w:p>
    <w:bookmarkStart w:id="206" w:name="P206"/>
    <w:bookmarkEnd w:id="206"/>
    <w:p>
      <w:pPr>
        <w:pStyle w:val="0"/>
        <w:spacing w:before="200" w:lineRule="auto"/>
        <w:ind w:firstLine="540"/>
        <w:jc w:val="both"/>
      </w:pPr>
      <w:r>
        <w:rPr>
          <w:sz w:val="20"/>
        </w:rPr>
        <w:t xml:space="preserve">2.28. Результатом предоставления гранта является достижение значения мероприятия (результата) "Реализован творческий проект в сфере театрального искусства (созданы спектакли, проведены театральный фестиваль (фестивали), и (или) семинар (семинары), и (или) лаборатория (лаборатории), и (или) творческая встреча (встречи), конкурс (конкурсы) и другие мероприятия художественно-творческого характера" (единица), характеризующееся числом посещений мероприятий творческого проекта в сфере театрального искусства (тысяч единиц) в рамках комплекса процессных мероприятий "Поддержка творческих инициатив населения и организаций в сфере культуры, развитие кадрового потенциала, подготовка и проведение мероприятий, посвященных значимым событиям". Тип мероприятия (результата) - иные мероприятия (результаты).</w:t>
      </w:r>
    </w:p>
    <w:p>
      <w:pPr>
        <w:pStyle w:val="0"/>
        <w:spacing w:before="200" w:lineRule="auto"/>
        <w:ind w:firstLine="540"/>
        <w:jc w:val="both"/>
      </w:pPr>
      <w:r>
        <w:rPr>
          <w:sz w:val="20"/>
        </w:rPr>
        <w:t xml:space="preserve">2.29. Срок перечисления гранта составляет не более 45 календарных дней со дня подписания Соглашения.</w:t>
      </w:r>
    </w:p>
    <w:p>
      <w:pPr>
        <w:pStyle w:val="0"/>
        <w:spacing w:before="200" w:lineRule="auto"/>
        <w:ind w:firstLine="540"/>
        <w:jc w:val="both"/>
      </w:pPr>
      <w:r>
        <w:rPr>
          <w:sz w:val="20"/>
        </w:rPr>
        <w:t xml:space="preserve">2.30. Получателю гранта, а также иным юридическим лицам, получающим средства на основании договоров (соглашений), заключенных с получателем гранта в целях исполнения обязательств по Соглашению, за счет гранта, предусмотренного настоящим Порядком, запрещается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Порядком.</w:t>
      </w:r>
    </w:p>
    <w:p>
      <w:pPr>
        <w:pStyle w:val="0"/>
        <w:spacing w:before="200" w:lineRule="auto"/>
        <w:ind w:firstLine="540"/>
        <w:jc w:val="both"/>
      </w:pPr>
      <w:r>
        <w:rPr>
          <w:sz w:val="20"/>
        </w:rPr>
        <w:t xml:space="preserve">Получатель гранта, а также лица, получающие средства на основании договоров (соглашений), заключенных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дают согласие на осуществление в отношении их проверки Министерством соблюдения порядка и условий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в соответствии со </w:t>
      </w:r>
      <w:hyperlink w:history="0" r:id="rId1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19"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Положения о даче согласия на проведение указанных проверок включаются в Соглашение.</w:t>
      </w:r>
    </w:p>
    <w:p>
      <w:pPr>
        <w:pStyle w:val="0"/>
        <w:spacing w:before="200" w:lineRule="auto"/>
        <w:ind w:firstLine="540"/>
        <w:jc w:val="both"/>
      </w:pPr>
      <w:r>
        <w:rPr>
          <w:sz w:val="20"/>
        </w:rPr>
        <w:t xml:space="preserve">2.31. Получатель гранта обязуется не допускать образования на едином налоговом счете неисполненной обязанности по уплате налогов, сборов и страховых взносов в бюджетах бюджетной системы Российской Федерации.</w:t>
      </w:r>
    </w:p>
    <w:p>
      <w:pPr>
        <w:pStyle w:val="0"/>
        <w:spacing w:before="200" w:lineRule="auto"/>
        <w:ind w:firstLine="540"/>
        <w:jc w:val="both"/>
      </w:pPr>
      <w:r>
        <w:rPr>
          <w:sz w:val="20"/>
        </w:rPr>
        <w:t xml:space="preserve">2.32. При реорганизации получателя гранта, являющегося юридическим лицом, в форме разделения, выделения, а также при ликвидации получателя гранта,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бюджет Воронежской области.</w:t>
      </w:r>
    </w:p>
    <w:p>
      <w:pPr>
        <w:pStyle w:val="0"/>
        <w:spacing w:before="200" w:lineRule="auto"/>
        <w:ind w:firstLine="540"/>
        <w:jc w:val="both"/>
      </w:pPr>
      <w:r>
        <w:rPr>
          <w:sz w:val="20"/>
        </w:rPr>
        <w:t xml:space="preserve">При реорганизации получателя гранта,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ind w:firstLine="540"/>
        <w:jc w:val="both"/>
      </w:pPr>
      <w:r>
        <w:rPr>
          <w:sz w:val="20"/>
        </w:rPr>
      </w:r>
    </w:p>
    <w:p>
      <w:pPr>
        <w:pStyle w:val="2"/>
        <w:outlineLvl w:val="1"/>
        <w:jc w:val="center"/>
      </w:pPr>
      <w:r>
        <w:rPr>
          <w:sz w:val="20"/>
        </w:rPr>
        <w:t xml:space="preserve">3. Требования к отчетности, осуществлению контроля</w:t>
      </w:r>
    </w:p>
    <w:p>
      <w:pPr>
        <w:pStyle w:val="2"/>
        <w:jc w:val="center"/>
      </w:pPr>
      <w:r>
        <w:rPr>
          <w:sz w:val="20"/>
        </w:rPr>
        <w:t xml:space="preserve">(мониторинга) за соблюдением условий и порядка</w:t>
      </w:r>
    </w:p>
    <w:p>
      <w:pPr>
        <w:pStyle w:val="2"/>
        <w:jc w:val="center"/>
      </w:pPr>
      <w:r>
        <w:rPr>
          <w:sz w:val="20"/>
        </w:rPr>
        <w:t xml:space="preserve">предоставления гранта и ответственности за их нарушение</w:t>
      </w:r>
    </w:p>
    <w:p>
      <w:pPr>
        <w:pStyle w:val="0"/>
        <w:ind w:firstLine="540"/>
        <w:jc w:val="both"/>
      </w:pPr>
      <w:r>
        <w:rPr>
          <w:sz w:val="20"/>
        </w:rPr>
      </w:r>
    </w:p>
    <w:p>
      <w:pPr>
        <w:pStyle w:val="0"/>
        <w:ind w:firstLine="540"/>
        <w:jc w:val="both"/>
      </w:pPr>
      <w:r>
        <w:rPr>
          <w:sz w:val="20"/>
        </w:rPr>
        <w:t xml:space="preserve">3.1. Получатель гранта представляет отчет о достижении значений результата предоставления гранта и об осуществлении расходов, источником финансового обеспечения которых является грант, по форме, определенной типовой формой соглашения, установленной министерством финансов Воронежской области, и информацию об отсутствии задолженности по уплате налогов, сборов, страховых взносов в течение всего периода использования гранта в следующие сроки:</w:t>
      </w:r>
    </w:p>
    <w:p>
      <w:pPr>
        <w:pStyle w:val="0"/>
        <w:spacing w:before="200" w:lineRule="auto"/>
        <w:ind w:firstLine="540"/>
        <w:jc w:val="both"/>
      </w:pPr>
      <w:r>
        <w:rPr>
          <w:sz w:val="20"/>
        </w:rPr>
        <w:t xml:space="preserve">- ежеквартально - в срок до 20-го числа месяца, следующего за отчетным кварталом;</w:t>
      </w:r>
    </w:p>
    <w:p>
      <w:pPr>
        <w:pStyle w:val="0"/>
        <w:spacing w:before="200" w:lineRule="auto"/>
        <w:ind w:firstLine="540"/>
        <w:jc w:val="both"/>
      </w:pPr>
      <w:r>
        <w:rPr>
          <w:sz w:val="20"/>
        </w:rPr>
        <w:t xml:space="preserve">- за весь период реализации программы (проекта) - не позднее 15 рабочих дней с даты окончания действия Соглашения.</w:t>
      </w:r>
    </w:p>
    <w:p>
      <w:pPr>
        <w:pStyle w:val="0"/>
        <w:spacing w:before="200" w:lineRule="auto"/>
        <w:ind w:firstLine="540"/>
        <w:jc w:val="both"/>
      </w:pPr>
      <w:r>
        <w:rPr>
          <w:sz w:val="20"/>
        </w:rPr>
        <w:t xml:space="preserve">Министерство вправе устанавливать в Соглашении сроки и формы представления получателем гранта дополнительной отчетности.</w:t>
      </w:r>
    </w:p>
    <w:p>
      <w:pPr>
        <w:pStyle w:val="0"/>
        <w:spacing w:before="200" w:lineRule="auto"/>
        <w:ind w:firstLine="540"/>
        <w:jc w:val="both"/>
      </w:pPr>
      <w:r>
        <w:rPr>
          <w:sz w:val="20"/>
        </w:rPr>
        <w:t xml:space="preserve">3.2. Министерство в течение 10 рабочих дней проверяет отчет и принимает решение о приеме отчета или об отказе в приеме отчета.</w:t>
      </w:r>
    </w:p>
    <w:p>
      <w:pPr>
        <w:pStyle w:val="0"/>
        <w:spacing w:before="200" w:lineRule="auto"/>
        <w:ind w:firstLine="540"/>
        <w:jc w:val="both"/>
      </w:pPr>
      <w:r>
        <w:rPr>
          <w:sz w:val="20"/>
        </w:rPr>
        <w:t xml:space="preserve">Основанием для отказа в приеме отчета является установление факта недостоверности представленной получателем гранта информации.</w:t>
      </w:r>
    </w:p>
    <w:p>
      <w:pPr>
        <w:pStyle w:val="0"/>
        <w:spacing w:before="200" w:lineRule="auto"/>
        <w:ind w:firstLine="540"/>
        <w:jc w:val="both"/>
      </w:pPr>
      <w:r>
        <w:rPr>
          <w:sz w:val="20"/>
        </w:rPr>
        <w:t xml:space="preserve">Получатель гранта должен быть проинформирован о принятом решении в течение 5 рабочих дней со дня его принятия (в случае отказа в приеме отчета - с указанием причины принятия соответствующего решения).</w:t>
      </w:r>
    </w:p>
    <w:p>
      <w:pPr>
        <w:pStyle w:val="0"/>
        <w:spacing w:before="200" w:lineRule="auto"/>
        <w:ind w:firstLine="540"/>
        <w:jc w:val="both"/>
      </w:pPr>
      <w:r>
        <w:rPr>
          <w:sz w:val="20"/>
        </w:rPr>
        <w:t xml:space="preserve">Получатель гранта в течение 5 дней со дня получения отказа в приеме отчета представляет в Министерство уточненный отчет.</w:t>
      </w:r>
    </w:p>
    <w:p>
      <w:pPr>
        <w:pStyle w:val="0"/>
        <w:spacing w:before="200" w:lineRule="auto"/>
        <w:ind w:firstLine="540"/>
        <w:jc w:val="both"/>
      </w:pPr>
      <w:r>
        <w:rPr>
          <w:sz w:val="20"/>
        </w:rPr>
        <w:t xml:space="preserve">3.3. Получатель гранта несет ответственность за достоверность сведений, содержащихся в отчетных документах.</w:t>
      </w:r>
    </w:p>
    <w:p>
      <w:pPr>
        <w:pStyle w:val="0"/>
        <w:spacing w:before="200" w:lineRule="auto"/>
        <w:ind w:firstLine="540"/>
        <w:jc w:val="both"/>
      </w:pPr>
      <w:r>
        <w:rPr>
          <w:sz w:val="20"/>
        </w:rPr>
        <w:t xml:space="preserve">3.4. Мониторинг достижения результата предоставления гранта, указанного в </w:t>
      </w:r>
      <w:hyperlink w:history="0" w:anchor="P206" w:tooltip="2.28. Результатом предоставления гранта является достижение значения мероприятия (результата) &quot;Реализован творческий проект в сфере театрального искусства (созданы спектакли, проведены театральный фестиваль (фестивали), и (или) семинар (семинары), и (или) лаборатория (лаборатории), и (или) творческая встреча (встречи), конкурс (конкурсы) и другие мероприятия художественно-творческого характера&quot; (единица), характеризующееся числом посещений мероприятий творческого проекта в сфере театрального искусства (т...">
        <w:r>
          <w:rPr>
            <w:sz w:val="20"/>
            <w:color w:val="0000ff"/>
          </w:rPr>
          <w:t xml:space="preserve">пункте 2.28</w:t>
        </w:r>
      </w:hyperlink>
      <w:r>
        <w:rPr>
          <w:sz w:val="20"/>
        </w:rPr>
        <w:t xml:space="preserve"> настоящего Порядка, исходя из достижения значений результатов предоставления гранта, определенных Соглашением, и событий, отражающих факт завершения соответствующего официального мероприятия по получению результата предоставления гранта (контрольная точка), проводится Министерством в порядке и по формам, которые установлены министерством финансов Воронежской области.</w:t>
      </w:r>
    </w:p>
    <w:p>
      <w:pPr>
        <w:pStyle w:val="0"/>
        <w:spacing w:before="200" w:lineRule="auto"/>
        <w:ind w:firstLine="540"/>
        <w:jc w:val="both"/>
      </w:pPr>
      <w:r>
        <w:rPr>
          <w:sz w:val="20"/>
        </w:rPr>
        <w:t xml:space="preserve">3.5. Министерство осуществляет проверку соблюдения получателем гранта порядка и условий предоставления гранта и средств, полученных на основании договоров (соглашений), заключенных с получателем гранта, в том числе в части достижения результата предоставления гранта, а органы государственного финансового контроля осуществляют проверки в соответствии со </w:t>
      </w:r>
      <w:hyperlink w:history="0" r:id="rId20"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1"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3.6. Ответственность за нецелевое использование предоставленного гранта, недостоверность сведений, содержащихся в документах, несет получатель гранта в соответствии с действующим законодательством.</w:t>
      </w:r>
    </w:p>
    <w:bookmarkStart w:id="231" w:name="P231"/>
    <w:bookmarkEnd w:id="231"/>
    <w:p>
      <w:pPr>
        <w:pStyle w:val="0"/>
        <w:spacing w:before="200" w:lineRule="auto"/>
        <w:ind w:firstLine="540"/>
        <w:jc w:val="both"/>
      </w:pPr>
      <w:r>
        <w:rPr>
          <w:sz w:val="20"/>
        </w:rPr>
        <w:t xml:space="preserve">3.7. Возврат остатков гранта, не использованных по истечении срока, осуществляется в порядке, установленном бюджетным законодательством Российской Федерации, в течение 30 календарных дней со дня истечения указанного срока.</w:t>
      </w:r>
    </w:p>
    <w:p>
      <w:pPr>
        <w:pStyle w:val="0"/>
        <w:spacing w:before="200" w:lineRule="auto"/>
        <w:ind w:firstLine="540"/>
        <w:jc w:val="both"/>
      </w:pPr>
      <w:r>
        <w:rPr>
          <w:sz w:val="20"/>
        </w:rPr>
        <w:t xml:space="preserve">3.8. В случае нарушения получателем гранта условий, установленных при предоставлении гранта, выявленного в том числе по фактам проверок, проведенных Министерством и органами государственного финансового контроля, а также в случае недостижения значения результата предоставления гранта средства гранта подлежат возврату в доход областного бюджета в соответствии с бюджетным законодательством Российской Федерации.</w:t>
      </w:r>
    </w:p>
    <w:p>
      <w:pPr>
        <w:pStyle w:val="0"/>
        <w:spacing w:before="200" w:lineRule="auto"/>
        <w:ind w:firstLine="540"/>
        <w:jc w:val="both"/>
      </w:pPr>
      <w:r>
        <w:rPr>
          <w:sz w:val="20"/>
        </w:rPr>
        <w:t xml:space="preserve">При выявлении нарушения условий, установленных при предоставлении гранта, Министерство принимает меры по возврату гранта посредством направления получателю гранта требования о возврате гранта в течение 10 рабочих дней с даты выявления нарушения. Грант подлежит возврату в областной бюджет в течение 30 календарных дней с даты получения требования.</w:t>
      </w:r>
    </w:p>
    <w:p>
      <w:pPr>
        <w:pStyle w:val="0"/>
        <w:spacing w:before="200" w:lineRule="auto"/>
        <w:ind w:firstLine="540"/>
        <w:jc w:val="both"/>
      </w:pPr>
      <w:r>
        <w:rPr>
          <w:sz w:val="20"/>
        </w:rPr>
        <w:t xml:space="preserve">При невозврате гранта в установленный срок Министерство принимает меры по взысканию подлежащего возврату гранта в областной бюджет в судебном порядке.</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гранта в форме субсидии</w:t>
      </w:r>
    </w:p>
    <w:p>
      <w:pPr>
        <w:pStyle w:val="0"/>
        <w:jc w:val="right"/>
      </w:pPr>
      <w:r>
        <w:rPr>
          <w:sz w:val="20"/>
        </w:rPr>
        <w:t xml:space="preserve">на развитие деятельности негосударственных</w:t>
      </w:r>
    </w:p>
    <w:p>
      <w:pPr>
        <w:pStyle w:val="0"/>
        <w:jc w:val="right"/>
      </w:pPr>
      <w:r>
        <w:rPr>
          <w:sz w:val="20"/>
        </w:rPr>
        <w:t xml:space="preserve">организаций в сфере театрального искусства</w:t>
      </w:r>
    </w:p>
    <w:p>
      <w:pPr>
        <w:pStyle w:val="0"/>
        <w:jc w:val="right"/>
      </w:pPr>
      <w:r>
        <w:rPr>
          <w:sz w:val="20"/>
        </w:rPr>
        <w:t xml:space="preserve">Воронежской области</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948"/>
        <w:gridCol w:w="2217"/>
        <w:gridCol w:w="249"/>
        <w:gridCol w:w="3600"/>
      </w:tblGrid>
      <w:tr>
        <w:tc>
          <w:tcPr>
            <w:gridSpan w:val="4"/>
            <w:tcW w:w="9014" w:type="dxa"/>
            <w:tcBorders>
              <w:top w:val="nil"/>
              <w:left w:val="nil"/>
              <w:bottom w:val="nil"/>
              <w:right w:val="nil"/>
            </w:tcBorders>
          </w:tcPr>
          <w:p>
            <w:pPr>
              <w:pStyle w:val="0"/>
              <w:jc w:val="center"/>
            </w:pPr>
            <w:r>
              <w:rPr>
                <w:sz w:val="20"/>
              </w:rPr>
              <w:t xml:space="preserve">ЗАЯВКА</w:t>
            </w:r>
          </w:p>
          <w:p>
            <w:pPr>
              <w:pStyle w:val="0"/>
              <w:jc w:val="center"/>
            </w:pPr>
            <w:r>
              <w:rPr>
                <w:sz w:val="20"/>
              </w:rPr>
              <w:t xml:space="preserve">на участие в отборе на предоставление гранта в форме субсидии</w:t>
            </w:r>
          </w:p>
          <w:p>
            <w:pPr>
              <w:pStyle w:val="0"/>
              <w:jc w:val="center"/>
            </w:pPr>
            <w:r>
              <w:rPr>
                <w:sz w:val="20"/>
              </w:rPr>
              <w:t xml:space="preserve">на развитие деятельности негосударственных организаций</w:t>
            </w:r>
          </w:p>
          <w:p>
            <w:pPr>
              <w:pStyle w:val="0"/>
              <w:jc w:val="center"/>
            </w:pPr>
            <w:r>
              <w:rPr>
                <w:sz w:val="20"/>
              </w:rPr>
              <w:t xml:space="preserve">в сфере театрального искусства Воронежской области</w:t>
            </w:r>
          </w:p>
        </w:tc>
      </w:tr>
      <w:tr>
        <w:tc>
          <w:tcPr>
            <w:gridSpan w:val="4"/>
            <w:tcW w:w="9014" w:type="dxa"/>
            <w:tcBorders>
              <w:top w:val="nil"/>
              <w:left w:val="nil"/>
              <w:bottom w:val="nil"/>
              <w:right w:val="nil"/>
            </w:tcBorders>
          </w:tcPr>
          <w:p>
            <w:pPr>
              <w:pStyle w:val="0"/>
              <w:ind w:firstLine="283"/>
              <w:jc w:val="both"/>
            </w:pPr>
            <w:r>
              <w:rPr>
                <w:sz w:val="20"/>
              </w:rPr>
            </w:r>
          </w:p>
        </w:tc>
      </w:tr>
      <w:tr>
        <w:tc>
          <w:tcPr>
            <w:gridSpan w:val="4"/>
            <w:tcW w:w="9014" w:type="dxa"/>
            <w:tcBorders>
              <w:top w:val="nil"/>
              <w:left w:val="nil"/>
              <w:bottom w:val="nil"/>
              <w:right w:val="nil"/>
            </w:tcBorders>
          </w:tcPr>
          <w:p>
            <w:pPr>
              <w:pStyle w:val="0"/>
              <w:ind w:firstLine="283"/>
              <w:jc w:val="both"/>
            </w:pPr>
            <w:r>
              <w:rPr>
                <w:sz w:val="20"/>
              </w:rPr>
              <w:t xml:space="preserve">В соответствии с </w:t>
            </w:r>
            <w:hyperlink w:history="0" w:anchor="P30" w:tooltip="ПОРЯДОК">
              <w:r>
                <w:rPr>
                  <w:sz w:val="20"/>
                  <w:color w:val="0000ff"/>
                </w:rPr>
                <w:t xml:space="preserve">Порядком</w:t>
              </w:r>
            </w:hyperlink>
            <w:r>
              <w:rPr>
                <w:sz w:val="20"/>
              </w:rPr>
              <w:t xml:space="preserve"> предоставления гранта в форме субсидии на развитие деятельности негосударственных организаций в сфере театрального искусства Воронежской области (далее - Порядок) __________________________________________________________________</w:t>
            </w:r>
          </w:p>
          <w:p>
            <w:pPr>
              <w:pStyle w:val="0"/>
              <w:jc w:val="center"/>
            </w:pPr>
            <w:r>
              <w:rPr>
                <w:sz w:val="20"/>
              </w:rPr>
              <w:t xml:space="preserve">(полное наименование юридического лица)</w:t>
            </w:r>
          </w:p>
          <w:p>
            <w:pPr>
              <w:pStyle w:val="0"/>
            </w:pPr>
            <w:r>
              <w:rPr>
                <w:sz w:val="20"/>
              </w:rPr>
              <w:t xml:space="preserve">в лице ____________________________________________________________, действующего на основании ________________________________________,</w:t>
            </w:r>
          </w:p>
          <w:p>
            <w:pPr>
              <w:pStyle w:val="0"/>
              <w:jc w:val="both"/>
            </w:pPr>
            <w:r>
              <w:rPr>
                <w:sz w:val="20"/>
              </w:rPr>
              <w:t xml:space="preserve">направляет документы для участия в отборе на предоставление гранта в форме субсидии на развитие деятельности негосударственных организаций в сфере театрального искусства Воронежской области.</w:t>
            </w:r>
          </w:p>
        </w:tc>
      </w:tr>
      <w:tr>
        <w:tc>
          <w:tcPr>
            <w:gridSpan w:val="4"/>
            <w:tcW w:w="9014" w:type="dxa"/>
            <w:tcBorders>
              <w:top w:val="nil"/>
              <w:left w:val="nil"/>
              <w:bottom w:val="nil"/>
              <w:right w:val="nil"/>
            </w:tcBorders>
          </w:tcPr>
          <w:p>
            <w:pPr>
              <w:pStyle w:val="0"/>
              <w:ind w:firstLine="283"/>
              <w:jc w:val="both"/>
            </w:pPr>
            <w:r>
              <w:rPr>
                <w:sz w:val="20"/>
              </w:rPr>
              <w:t xml:space="preserve">Документ, подтверждающий факт внесения записи в единый государственный реестр юридических лиц: N _______ от ______________</w:t>
            </w:r>
          </w:p>
          <w:p>
            <w:pPr>
              <w:pStyle w:val="0"/>
              <w:ind w:firstLine="283"/>
              <w:jc w:val="both"/>
            </w:pPr>
            <w:r>
              <w:rPr>
                <w:sz w:val="20"/>
              </w:rPr>
              <w:t xml:space="preserve">Кем выдан _____________________________________________________________</w:t>
            </w:r>
          </w:p>
          <w:p>
            <w:pPr>
              <w:pStyle w:val="0"/>
              <w:ind w:firstLine="283"/>
              <w:jc w:val="both"/>
            </w:pPr>
            <w:r>
              <w:rPr>
                <w:sz w:val="20"/>
              </w:rPr>
              <w:t xml:space="preserve">ИНН __________________________________________________________________</w:t>
            </w:r>
          </w:p>
          <w:p>
            <w:pPr>
              <w:pStyle w:val="0"/>
              <w:ind w:firstLine="283"/>
              <w:jc w:val="both"/>
            </w:pPr>
            <w:r>
              <w:rPr>
                <w:sz w:val="20"/>
              </w:rPr>
              <w:t xml:space="preserve">ОГРН (ОГРНИП) _______________________________________________________</w:t>
            </w:r>
          </w:p>
          <w:p>
            <w:pPr>
              <w:pStyle w:val="0"/>
              <w:ind w:firstLine="283"/>
              <w:jc w:val="both"/>
            </w:pPr>
            <w:r>
              <w:rPr>
                <w:sz w:val="20"/>
              </w:rPr>
              <w:t xml:space="preserve">Дата государственной регистрации ________________________________________</w:t>
            </w:r>
          </w:p>
          <w:p>
            <w:pPr>
              <w:pStyle w:val="0"/>
              <w:ind w:firstLine="283"/>
              <w:jc w:val="both"/>
            </w:pPr>
            <w:r>
              <w:rPr>
                <w:sz w:val="20"/>
              </w:rPr>
              <w:t xml:space="preserve">Банковские реквизиты __________________________________________________</w:t>
            </w:r>
          </w:p>
          <w:p>
            <w:pPr>
              <w:pStyle w:val="0"/>
              <w:ind w:firstLine="283"/>
              <w:jc w:val="both"/>
            </w:pPr>
            <w:r>
              <w:rPr>
                <w:sz w:val="20"/>
              </w:rPr>
              <w:t xml:space="preserve">Р/сч ________________________________ в ________________________________</w:t>
            </w:r>
          </w:p>
          <w:p>
            <w:pPr>
              <w:pStyle w:val="0"/>
              <w:ind w:firstLine="283"/>
              <w:jc w:val="both"/>
            </w:pPr>
            <w:r>
              <w:rPr>
                <w:sz w:val="20"/>
              </w:rPr>
              <w:t xml:space="preserve">Корр/сч _______________________________________________________________</w:t>
            </w:r>
          </w:p>
          <w:p>
            <w:pPr>
              <w:pStyle w:val="0"/>
              <w:ind w:firstLine="283"/>
              <w:jc w:val="both"/>
            </w:pPr>
            <w:r>
              <w:rPr>
                <w:sz w:val="20"/>
              </w:rPr>
              <w:t xml:space="preserve">Место нахождения _____________________________________________________</w:t>
            </w:r>
          </w:p>
          <w:p>
            <w:pPr>
              <w:pStyle w:val="0"/>
              <w:ind w:firstLine="283"/>
              <w:jc w:val="both"/>
            </w:pPr>
            <w:r>
              <w:rPr>
                <w:sz w:val="20"/>
              </w:rPr>
              <w:t xml:space="preserve">Почтовый адрес для направления корреспонденции _________________________</w:t>
            </w:r>
          </w:p>
          <w:p>
            <w:pPr>
              <w:pStyle w:val="0"/>
              <w:ind w:firstLine="283"/>
              <w:jc w:val="both"/>
            </w:pPr>
            <w:r>
              <w:rPr>
                <w:sz w:val="20"/>
              </w:rPr>
              <w:t xml:space="preserve">______________________________________________________________________</w:t>
            </w:r>
          </w:p>
          <w:p>
            <w:pPr>
              <w:pStyle w:val="0"/>
              <w:ind w:firstLine="283"/>
              <w:jc w:val="both"/>
            </w:pPr>
            <w:r>
              <w:rPr>
                <w:sz w:val="20"/>
              </w:rPr>
              <w:t xml:space="preserve">Адрес электронной почты _______________________________________________</w:t>
            </w:r>
          </w:p>
          <w:p>
            <w:pPr>
              <w:pStyle w:val="0"/>
              <w:ind w:firstLine="283"/>
              <w:jc w:val="both"/>
            </w:pPr>
            <w:r>
              <w:rPr>
                <w:sz w:val="20"/>
              </w:rPr>
              <w:t xml:space="preserve">Телефон ______________________________________________________________</w:t>
            </w:r>
          </w:p>
          <w:p>
            <w:pPr>
              <w:pStyle w:val="0"/>
              <w:ind w:firstLine="283"/>
              <w:jc w:val="both"/>
            </w:pPr>
            <w:r>
              <w:rPr>
                <w:sz w:val="20"/>
              </w:rPr>
              <w:t xml:space="preserve">Прошу предоставить грант в размере ___ на финансовое обеспечение затрат на реализацию программы (проекта) в сфере театрального искусства "________________________________________________________________________</w:t>
            </w:r>
          </w:p>
          <w:p>
            <w:pPr>
              <w:pStyle w:val="0"/>
              <w:jc w:val="both"/>
            </w:pPr>
            <w:r>
              <w:rPr>
                <w:sz w:val="20"/>
              </w:rPr>
              <w:t xml:space="preserve">________________________________________________________________________".</w:t>
            </w:r>
          </w:p>
          <w:p>
            <w:pPr>
              <w:pStyle w:val="0"/>
              <w:jc w:val="center"/>
            </w:pPr>
            <w:r>
              <w:rPr>
                <w:sz w:val="20"/>
              </w:rPr>
              <w:t xml:space="preserve">(наименование программы (проекта))</w:t>
            </w:r>
          </w:p>
          <w:p>
            <w:pPr>
              <w:pStyle w:val="0"/>
              <w:ind w:firstLine="283"/>
              <w:jc w:val="both"/>
            </w:pPr>
            <w:r>
              <w:rPr>
                <w:sz w:val="20"/>
              </w:rPr>
              <w:t xml:space="preserve">Настоящим ____________________________________________________________</w:t>
            </w:r>
          </w:p>
          <w:p>
            <w:pPr>
              <w:pStyle w:val="0"/>
              <w:jc w:val="center"/>
            </w:pPr>
            <w:r>
              <w:rPr>
                <w:sz w:val="20"/>
              </w:rPr>
              <w:t xml:space="preserve">(Ф.И.О. руководителя (полностью))</w:t>
            </w:r>
          </w:p>
          <w:p>
            <w:pPr>
              <w:pStyle w:val="0"/>
              <w:jc w:val="both"/>
            </w:pPr>
            <w:r>
              <w:rPr>
                <w:sz w:val="20"/>
              </w:rPr>
              <w:t xml:space="preserve">подтверждаю, что _________________________________________________________</w:t>
            </w:r>
          </w:p>
          <w:p>
            <w:pPr>
              <w:pStyle w:val="0"/>
              <w:jc w:val="center"/>
            </w:pPr>
            <w:r>
              <w:rPr>
                <w:sz w:val="20"/>
              </w:rPr>
              <w:t xml:space="preserve">(наименование юридического лица)</w:t>
            </w:r>
          </w:p>
          <w:p>
            <w:pPr>
              <w:pStyle w:val="0"/>
              <w:jc w:val="both"/>
            </w:pPr>
            <w:r>
              <w:rPr>
                <w:sz w:val="20"/>
              </w:rPr>
              <w:t xml:space="preserve">соответствует требованиям и условиям, установленным </w:t>
            </w:r>
            <w:hyperlink w:history="0" w:anchor="P47"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w:t>
            </w:r>
            <w:hyperlink w:history="0" w:anchor="P57"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Порядка.</w:t>
            </w:r>
          </w:p>
          <w:p>
            <w:pPr>
              <w:pStyle w:val="0"/>
              <w:ind w:firstLine="283"/>
              <w:jc w:val="both"/>
            </w:pPr>
            <w:r>
              <w:rPr>
                <w:sz w:val="20"/>
              </w:rPr>
              <w:t xml:space="preserve">Настоящим подтверждаю актуальность и подлинность документов, представленных в составе настоящей заявки, и не возражаю против доступа к ней лиц, участвующих в рассмотрении документов.</w:t>
            </w:r>
          </w:p>
          <w:p>
            <w:pPr>
              <w:pStyle w:val="0"/>
              <w:ind w:firstLine="283"/>
              <w:jc w:val="both"/>
            </w:pPr>
            <w:r>
              <w:rPr>
                <w:sz w:val="20"/>
              </w:rPr>
              <w:t xml:space="preserve">Даю согласие на осуществление министерством культуры Воронежской области проверок соблюдения получателем гранта порядка и условий предоставления гранта, в том числе в части достижения результата предоставления гранта, а также на осуществление органами государственного финансового контроля проверок в соответствии со </w:t>
            </w:r>
            <w:hyperlink w:history="0" r:id="rId22"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3"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283"/>
              <w:jc w:val="both"/>
            </w:pPr>
            <w:r>
              <w:rPr>
                <w:sz w:val="20"/>
              </w:rPr>
              <w:t xml:space="preserve">В соответствии с Порядком к заявке прилагаются документы на _______ л. в ________ экз.</w:t>
            </w:r>
          </w:p>
        </w:tc>
      </w:tr>
      <w:tr>
        <w:tc>
          <w:tcPr>
            <w:gridSpan w:val="4"/>
            <w:tcW w:w="9014" w:type="dxa"/>
            <w:tcBorders>
              <w:top w:val="nil"/>
              <w:left w:val="nil"/>
              <w:bottom w:val="nil"/>
              <w:right w:val="nil"/>
            </w:tcBorders>
          </w:tcPr>
          <w:p>
            <w:pPr>
              <w:pStyle w:val="0"/>
            </w:pPr>
            <w:r>
              <w:rPr>
                <w:sz w:val="20"/>
              </w:rPr>
            </w:r>
          </w:p>
        </w:tc>
      </w:tr>
      <w:tr>
        <w:tc>
          <w:tcPr>
            <w:gridSpan w:val="4"/>
            <w:tcW w:w="9014" w:type="dxa"/>
            <w:tcBorders>
              <w:top w:val="nil"/>
              <w:left w:val="nil"/>
              <w:bottom w:val="nil"/>
              <w:right w:val="nil"/>
            </w:tcBorders>
          </w:tcPr>
          <w:p>
            <w:pPr>
              <w:pStyle w:val="0"/>
            </w:pPr>
            <w:r>
              <w:rPr>
                <w:sz w:val="20"/>
              </w:rPr>
              <w:t xml:space="preserve">Руководитель участника</w:t>
            </w:r>
          </w:p>
          <w:p>
            <w:pPr>
              <w:pStyle w:val="0"/>
            </w:pPr>
            <w:r>
              <w:rPr>
                <w:sz w:val="20"/>
              </w:rPr>
              <w:t xml:space="preserve">отбора</w:t>
            </w:r>
          </w:p>
        </w:tc>
      </w:tr>
      <w:tr>
        <w:tc>
          <w:tcPr>
            <w:tcW w:w="2948" w:type="dxa"/>
            <w:tcBorders>
              <w:top w:val="nil"/>
              <w:left w:val="nil"/>
              <w:bottom w:val="nil"/>
              <w:right w:val="nil"/>
            </w:tcBorders>
          </w:tcPr>
          <w:p>
            <w:pPr>
              <w:pStyle w:val="0"/>
            </w:pPr>
            <w:r>
              <w:rPr>
                <w:sz w:val="20"/>
              </w:rPr>
            </w:r>
          </w:p>
        </w:tc>
        <w:tc>
          <w:tcPr>
            <w:tcW w:w="2217" w:type="dxa"/>
            <w:tcBorders>
              <w:top w:val="nil"/>
              <w:left w:val="nil"/>
              <w:bottom w:val="nil"/>
              <w:right w:val="nil"/>
            </w:tcBorders>
          </w:tcPr>
          <w:p>
            <w:pPr>
              <w:pStyle w:val="0"/>
            </w:pPr>
            <w:r>
              <w:rPr>
                <w:sz w:val="20"/>
              </w:rPr>
              <w:t xml:space="preserve">____________</w:t>
            </w:r>
          </w:p>
          <w:p>
            <w:pPr>
              <w:pStyle w:val="0"/>
            </w:pPr>
            <w:r>
              <w:rPr>
                <w:sz w:val="20"/>
              </w:rPr>
              <w:t xml:space="preserve">(подпись)</w:t>
            </w:r>
          </w:p>
        </w:tc>
        <w:tc>
          <w:tcPr>
            <w:tcW w:w="249" w:type="dxa"/>
            <w:tcBorders>
              <w:top w:val="nil"/>
              <w:left w:val="nil"/>
              <w:bottom w:val="nil"/>
              <w:right w:val="nil"/>
            </w:tcBorders>
          </w:tcPr>
          <w:p>
            <w:pPr>
              <w:pStyle w:val="0"/>
              <w:jc w:val="both"/>
            </w:pPr>
            <w:r>
              <w:rPr>
                <w:sz w:val="20"/>
              </w:rPr>
            </w:r>
          </w:p>
        </w:tc>
        <w:tc>
          <w:tcPr>
            <w:tcW w:w="3600" w:type="dxa"/>
            <w:tcBorders>
              <w:top w:val="nil"/>
              <w:left w:val="nil"/>
              <w:bottom w:val="nil"/>
              <w:right w:val="nil"/>
            </w:tcBorders>
          </w:tcPr>
          <w:p>
            <w:pPr>
              <w:pStyle w:val="0"/>
              <w:jc w:val="center"/>
            </w:pPr>
            <w:r>
              <w:rPr>
                <w:sz w:val="20"/>
              </w:rPr>
              <w:t xml:space="preserve">_________________________</w:t>
            </w:r>
          </w:p>
          <w:p>
            <w:pPr>
              <w:pStyle w:val="0"/>
              <w:jc w:val="center"/>
            </w:pPr>
            <w:r>
              <w:rPr>
                <w:sz w:val="20"/>
              </w:rPr>
              <w:t xml:space="preserve">(Ф.И.О.)</w:t>
            </w:r>
          </w:p>
        </w:tc>
      </w:tr>
      <w:tr>
        <w:tc>
          <w:tcPr>
            <w:gridSpan w:val="4"/>
            <w:tcW w:w="9014" w:type="dxa"/>
            <w:tcBorders>
              <w:top w:val="nil"/>
              <w:left w:val="nil"/>
              <w:bottom w:val="nil"/>
              <w:right w:val="nil"/>
            </w:tcBorders>
          </w:tcPr>
          <w:p>
            <w:pPr>
              <w:pStyle w:val="0"/>
            </w:pPr>
            <w:r>
              <w:rPr>
                <w:sz w:val="20"/>
              </w:rPr>
              <w:t xml:space="preserve">Дата ______________</w:t>
            </w:r>
          </w:p>
          <w:p>
            <w:pPr>
              <w:pStyle w:val="0"/>
            </w:pPr>
            <w:r>
              <w:rPr>
                <w:sz w:val="20"/>
              </w:rPr>
              <w:t xml:space="preserve">МП (при наличии)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предоставления гранта в форме субсидии</w:t>
      </w:r>
    </w:p>
    <w:p>
      <w:pPr>
        <w:pStyle w:val="0"/>
        <w:jc w:val="right"/>
      </w:pPr>
      <w:r>
        <w:rPr>
          <w:sz w:val="20"/>
        </w:rPr>
        <w:t xml:space="preserve">на развитие деятельности негосударственных</w:t>
      </w:r>
    </w:p>
    <w:p>
      <w:pPr>
        <w:pStyle w:val="0"/>
        <w:jc w:val="right"/>
      </w:pPr>
      <w:r>
        <w:rPr>
          <w:sz w:val="20"/>
        </w:rPr>
        <w:t xml:space="preserve">организаций в сфере театрального искусства</w:t>
      </w:r>
    </w:p>
    <w:p>
      <w:pPr>
        <w:pStyle w:val="0"/>
        <w:jc w:val="right"/>
      </w:pPr>
      <w:r>
        <w:rPr>
          <w:sz w:val="20"/>
        </w:rPr>
        <w:t xml:space="preserve">Воронежской области</w:t>
      </w:r>
    </w:p>
    <w:p>
      <w:pPr>
        <w:pStyle w:val="0"/>
        <w:ind w:firstLine="540"/>
        <w:jc w:val="both"/>
      </w:pPr>
      <w:r>
        <w:rPr>
          <w:sz w:val="20"/>
        </w:rPr>
      </w:r>
    </w:p>
    <w:bookmarkStart w:id="303" w:name="P303"/>
    <w:bookmarkEnd w:id="303"/>
    <w:p>
      <w:pPr>
        <w:pStyle w:val="0"/>
        <w:jc w:val="center"/>
      </w:pPr>
      <w:r>
        <w:rPr>
          <w:sz w:val="20"/>
        </w:rPr>
        <w:t xml:space="preserve">Паспорт программы (проекта)</w:t>
      </w:r>
    </w:p>
    <w:p>
      <w:pPr>
        <w:pStyle w:val="0"/>
        <w:ind w:firstLine="54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913"/>
        <w:gridCol w:w="2035"/>
        <w:gridCol w:w="2217"/>
        <w:gridCol w:w="249"/>
        <w:gridCol w:w="744"/>
        <w:gridCol w:w="2891"/>
      </w:tblGrid>
      <w:tr>
        <w:tc>
          <w:tcPr>
            <w:gridSpan w:val="5"/>
            <w:tcW w:w="6158" w:type="dxa"/>
          </w:tcPr>
          <w:p>
            <w:pPr>
              <w:pStyle w:val="0"/>
            </w:pPr>
            <w:r>
              <w:rPr>
                <w:sz w:val="20"/>
              </w:rPr>
              <w:t xml:space="preserve">Наименование программы (проекта)</w:t>
            </w:r>
          </w:p>
        </w:tc>
        <w:tc>
          <w:tcPr>
            <w:tcW w:w="2891" w:type="dxa"/>
          </w:tcPr>
          <w:p>
            <w:pPr>
              <w:pStyle w:val="0"/>
            </w:pPr>
            <w:r>
              <w:rPr>
                <w:sz w:val="20"/>
              </w:rPr>
            </w:r>
          </w:p>
        </w:tc>
      </w:tr>
      <w:tr>
        <w:tc>
          <w:tcPr>
            <w:gridSpan w:val="5"/>
            <w:tcW w:w="6158" w:type="dxa"/>
          </w:tcPr>
          <w:p>
            <w:pPr>
              <w:pStyle w:val="0"/>
            </w:pPr>
            <w:r>
              <w:rPr>
                <w:sz w:val="20"/>
              </w:rPr>
              <w:t xml:space="preserve">Дата начала реализации программы (проекта)</w:t>
            </w:r>
          </w:p>
        </w:tc>
        <w:tc>
          <w:tcPr>
            <w:tcW w:w="2891" w:type="dxa"/>
          </w:tcPr>
          <w:p>
            <w:pPr>
              <w:pStyle w:val="0"/>
            </w:pPr>
            <w:r>
              <w:rPr>
                <w:sz w:val="20"/>
              </w:rPr>
            </w:r>
          </w:p>
        </w:tc>
      </w:tr>
      <w:tr>
        <w:tc>
          <w:tcPr>
            <w:gridSpan w:val="5"/>
            <w:tcW w:w="6158" w:type="dxa"/>
          </w:tcPr>
          <w:p>
            <w:pPr>
              <w:pStyle w:val="0"/>
            </w:pPr>
            <w:r>
              <w:rPr>
                <w:sz w:val="20"/>
              </w:rPr>
              <w:t xml:space="preserve">Дата окончания реализации программы (проекта)</w:t>
            </w:r>
          </w:p>
        </w:tc>
        <w:tc>
          <w:tcPr>
            <w:tcW w:w="2891" w:type="dxa"/>
          </w:tcPr>
          <w:p>
            <w:pPr>
              <w:pStyle w:val="0"/>
            </w:pPr>
            <w:r>
              <w:rPr>
                <w:sz w:val="20"/>
              </w:rPr>
            </w:r>
          </w:p>
        </w:tc>
      </w:tr>
      <w:tr>
        <w:tc>
          <w:tcPr>
            <w:gridSpan w:val="5"/>
            <w:tcW w:w="6158" w:type="dxa"/>
          </w:tcPr>
          <w:p>
            <w:pPr>
              <w:pStyle w:val="0"/>
            </w:pPr>
            <w:r>
              <w:rPr>
                <w:sz w:val="20"/>
              </w:rPr>
              <w:t xml:space="preserve">Расходы по программе (проекту), тыс. рублей</w:t>
            </w:r>
          </w:p>
        </w:tc>
        <w:tc>
          <w:tcPr>
            <w:tcW w:w="2891" w:type="dxa"/>
          </w:tcPr>
          <w:p>
            <w:pPr>
              <w:pStyle w:val="0"/>
            </w:pPr>
            <w:r>
              <w:rPr>
                <w:sz w:val="20"/>
              </w:rPr>
            </w:r>
          </w:p>
        </w:tc>
      </w:tr>
      <w:tr>
        <w:tc>
          <w:tcPr>
            <w:gridSpan w:val="6"/>
            <w:tcW w:w="9049" w:type="dxa"/>
            <w:vAlign w:val="center"/>
          </w:tcPr>
          <w:p>
            <w:pPr>
              <w:pStyle w:val="0"/>
            </w:pPr>
            <w:r>
              <w:rPr>
                <w:sz w:val="20"/>
              </w:rPr>
              <w:t xml:space="preserve">Описание программы (проекта):</w:t>
            </w:r>
          </w:p>
        </w:tc>
      </w:tr>
      <w:tr>
        <w:tc>
          <w:tcPr>
            <w:gridSpan w:val="6"/>
            <w:tcW w:w="9049" w:type="dxa"/>
          </w:tcPr>
          <w:p>
            <w:pPr>
              <w:pStyle w:val="0"/>
            </w:pPr>
            <w:r>
              <w:rPr>
                <w:sz w:val="20"/>
              </w:rPr>
              <w:t xml:space="preserve">Цель и задачи программы (проекта):</w:t>
            </w:r>
          </w:p>
        </w:tc>
      </w:tr>
      <w:tr>
        <w:tc>
          <w:tcPr>
            <w:gridSpan w:val="6"/>
            <w:tcW w:w="9049" w:type="dxa"/>
          </w:tcPr>
          <w:p>
            <w:pPr>
              <w:pStyle w:val="0"/>
            </w:pPr>
            <w:r>
              <w:rPr>
                <w:sz w:val="20"/>
              </w:rPr>
              <w:t xml:space="preserve">Целевая группа (категории благополучателей, их количество):</w:t>
            </w:r>
          </w:p>
        </w:tc>
      </w:tr>
      <w:tr>
        <w:tc>
          <w:tcPr>
            <w:gridSpan w:val="6"/>
            <w:tcW w:w="9049" w:type="dxa"/>
          </w:tcPr>
          <w:p>
            <w:pPr>
              <w:pStyle w:val="0"/>
            </w:pPr>
            <w:r>
              <w:rPr>
                <w:sz w:val="20"/>
              </w:rPr>
              <w:t xml:space="preserve">Актуальность и социальная значимость программы (проекта):</w:t>
            </w:r>
          </w:p>
        </w:tc>
      </w:tr>
      <w:tr>
        <w:tc>
          <w:tcPr>
            <w:gridSpan w:val="6"/>
            <w:tcW w:w="9049" w:type="dxa"/>
          </w:tcPr>
          <w:p>
            <w:pPr>
              <w:pStyle w:val="0"/>
            </w:pPr>
            <w:r>
              <w:rPr>
                <w:sz w:val="20"/>
              </w:rPr>
              <w:t xml:space="preserve">Ожидаемые результаты реализации программы (проекта):</w:t>
            </w:r>
          </w:p>
        </w:tc>
      </w:tr>
      <w:tr>
        <w:tc>
          <w:tcPr>
            <w:gridSpan w:val="6"/>
            <w:tcW w:w="9049" w:type="dxa"/>
          </w:tcPr>
          <w:p>
            <w:pPr>
              <w:pStyle w:val="0"/>
            </w:pPr>
            <w:r>
              <w:rPr>
                <w:sz w:val="20"/>
              </w:rPr>
              <w:t xml:space="preserve">Перспективы дальнейшего развития программы (проекта):</w:t>
            </w:r>
          </w:p>
        </w:tc>
      </w:tr>
      <w:tr>
        <w:tc>
          <w:tcPr>
            <w:gridSpan w:val="6"/>
            <w:tcW w:w="9049" w:type="dxa"/>
          </w:tcPr>
          <w:p>
            <w:pPr>
              <w:pStyle w:val="0"/>
              <w:jc w:val="both"/>
            </w:pPr>
            <w:r>
              <w:rPr>
                <w:sz w:val="20"/>
              </w:rPr>
              <w:t xml:space="preserve">Описание основных этапов мероприятий программы (проекта)</w:t>
            </w:r>
          </w:p>
        </w:tc>
      </w:tr>
      <w:tr>
        <w:tc>
          <w:tcPr>
            <w:tcW w:w="913" w:type="dxa"/>
          </w:tcPr>
          <w:p>
            <w:pPr>
              <w:pStyle w:val="0"/>
              <w:jc w:val="center"/>
            </w:pPr>
            <w:r>
              <w:rPr>
                <w:sz w:val="20"/>
              </w:rPr>
              <w:t xml:space="preserve">N п/п</w:t>
            </w:r>
          </w:p>
        </w:tc>
        <w:tc>
          <w:tcPr>
            <w:gridSpan w:val="2"/>
            <w:tcW w:w="4252" w:type="dxa"/>
          </w:tcPr>
          <w:p>
            <w:pPr>
              <w:pStyle w:val="0"/>
              <w:jc w:val="center"/>
            </w:pPr>
            <w:r>
              <w:rPr>
                <w:sz w:val="20"/>
              </w:rPr>
              <w:t xml:space="preserve">Наименование мероприятия</w:t>
            </w:r>
          </w:p>
        </w:tc>
        <w:tc>
          <w:tcPr>
            <w:gridSpan w:val="3"/>
            <w:tcW w:w="3884" w:type="dxa"/>
          </w:tcPr>
          <w:p>
            <w:pPr>
              <w:pStyle w:val="0"/>
              <w:jc w:val="center"/>
            </w:pPr>
            <w:r>
              <w:rPr>
                <w:sz w:val="20"/>
              </w:rPr>
              <w:t xml:space="preserve">Сроки реализации</w:t>
            </w:r>
          </w:p>
        </w:tc>
      </w:tr>
      <w:tr>
        <w:tc>
          <w:tcPr>
            <w:tcW w:w="913" w:type="dxa"/>
          </w:tcPr>
          <w:p>
            <w:pPr>
              <w:pStyle w:val="0"/>
            </w:pPr>
            <w:r>
              <w:rPr>
                <w:sz w:val="20"/>
              </w:rPr>
            </w:r>
          </w:p>
        </w:tc>
        <w:tc>
          <w:tcPr>
            <w:gridSpan w:val="2"/>
            <w:tcW w:w="4252" w:type="dxa"/>
          </w:tcPr>
          <w:p>
            <w:pPr>
              <w:pStyle w:val="0"/>
            </w:pPr>
            <w:r>
              <w:rPr>
                <w:sz w:val="20"/>
              </w:rPr>
            </w:r>
          </w:p>
        </w:tc>
        <w:tc>
          <w:tcPr>
            <w:gridSpan w:val="3"/>
            <w:tcW w:w="3884" w:type="dxa"/>
          </w:tcPr>
          <w:p>
            <w:pPr>
              <w:pStyle w:val="0"/>
            </w:pPr>
            <w:r>
              <w:rPr>
                <w:sz w:val="20"/>
              </w:rPr>
            </w:r>
          </w:p>
        </w:tc>
      </w:tr>
      <w:tr>
        <w:tc>
          <w:tcPr>
            <w:tcW w:w="913" w:type="dxa"/>
          </w:tcPr>
          <w:p>
            <w:pPr>
              <w:pStyle w:val="0"/>
            </w:pPr>
            <w:r>
              <w:rPr>
                <w:sz w:val="20"/>
              </w:rPr>
            </w:r>
          </w:p>
        </w:tc>
        <w:tc>
          <w:tcPr>
            <w:gridSpan w:val="2"/>
            <w:tcW w:w="4252" w:type="dxa"/>
          </w:tcPr>
          <w:p>
            <w:pPr>
              <w:pStyle w:val="0"/>
            </w:pPr>
            <w:r>
              <w:rPr>
                <w:sz w:val="20"/>
              </w:rPr>
            </w:r>
          </w:p>
        </w:tc>
        <w:tc>
          <w:tcPr>
            <w:gridSpan w:val="3"/>
            <w:tcW w:w="3884" w:type="dxa"/>
          </w:tcPr>
          <w:p>
            <w:pPr>
              <w:pStyle w:val="0"/>
            </w:pPr>
            <w:r>
              <w:rPr>
                <w:sz w:val="20"/>
              </w:rPr>
            </w:r>
          </w:p>
        </w:tc>
      </w:tr>
      <w:tr>
        <w:tc>
          <w:tcPr>
            <w:tcW w:w="913" w:type="dxa"/>
          </w:tcPr>
          <w:p>
            <w:pPr>
              <w:pStyle w:val="0"/>
            </w:pPr>
            <w:r>
              <w:rPr>
                <w:sz w:val="20"/>
              </w:rPr>
            </w:r>
          </w:p>
        </w:tc>
        <w:tc>
          <w:tcPr>
            <w:gridSpan w:val="2"/>
            <w:tcW w:w="4252" w:type="dxa"/>
          </w:tcPr>
          <w:p>
            <w:pPr>
              <w:pStyle w:val="0"/>
            </w:pPr>
            <w:r>
              <w:rPr>
                <w:sz w:val="20"/>
              </w:rPr>
            </w:r>
          </w:p>
        </w:tc>
        <w:tc>
          <w:tcPr>
            <w:gridSpan w:val="3"/>
            <w:tcW w:w="3884" w:type="dxa"/>
          </w:tcPr>
          <w:p>
            <w:pPr>
              <w:pStyle w:val="0"/>
            </w:pPr>
            <w:r>
              <w:rPr>
                <w:sz w:val="20"/>
              </w:rPr>
            </w:r>
          </w:p>
        </w:tc>
      </w:tr>
      <w:tr>
        <w:tc>
          <w:tcPr>
            <w:gridSpan w:val="6"/>
            <w:tcW w:w="9049" w:type="dxa"/>
          </w:tcPr>
          <w:p>
            <w:pPr>
              <w:pStyle w:val="0"/>
              <w:jc w:val="both"/>
            </w:pPr>
            <w:r>
              <w:rPr>
                <w:sz w:val="20"/>
              </w:rPr>
              <w:t xml:space="preserve">Планируемые (предполагаемые) расходы в рамках реализации программы (проекта) в соответствии с </w:t>
            </w:r>
            <w:hyperlink w:history="0" w:anchor="P157" w:tooltip="2.20. Грант предоставляется в целях финансового обеспечения следующих направлений расходов, связанных с реализацией программы (проекта) в сфере театрального искусства:">
              <w:r>
                <w:rPr>
                  <w:sz w:val="20"/>
                  <w:color w:val="0000ff"/>
                </w:rPr>
                <w:t xml:space="preserve">пунктом 2.20</w:t>
              </w:r>
            </w:hyperlink>
            <w:r>
              <w:rPr>
                <w:sz w:val="20"/>
              </w:rPr>
              <w:t xml:space="preserve"> Порядка предоставления гранта в форме субсидии на развитие деятельности негосударственных организаций в сфере театрального искусства Воронежской области</w:t>
            </w:r>
          </w:p>
        </w:tc>
      </w:tr>
      <w:tr>
        <w:tc>
          <w:tcPr>
            <w:tcW w:w="913" w:type="dxa"/>
          </w:tcPr>
          <w:p>
            <w:pPr>
              <w:pStyle w:val="0"/>
              <w:jc w:val="center"/>
            </w:pPr>
            <w:r>
              <w:rPr>
                <w:sz w:val="20"/>
              </w:rPr>
              <w:t xml:space="preserve">N п/п</w:t>
            </w:r>
          </w:p>
        </w:tc>
        <w:tc>
          <w:tcPr>
            <w:gridSpan w:val="2"/>
            <w:tcW w:w="4252" w:type="dxa"/>
          </w:tcPr>
          <w:p>
            <w:pPr>
              <w:pStyle w:val="0"/>
              <w:jc w:val="center"/>
            </w:pPr>
            <w:r>
              <w:rPr>
                <w:sz w:val="20"/>
              </w:rPr>
              <w:t xml:space="preserve">Наименование расходов</w:t>
            </w:r>
          </w:p>
        </w:tc>
        <w:tc>
          <w:tcPr>
            <w:gridSpan w:val="3"/>
            <w:tcW w:w="3884" w:type="dxa"/>
          </w:tcPr>
          <w:p>
            <w:pPr>
              <w:pStyle w:val="0"/>
              <w:jc w:val="center"/>
            </w:pPr>
            <w:r>
              <w:rPr>
                <w:sz w:val="20"/>
              </w:rPr>
              <w:t xml:space="preserve">Стоимость (рублей)</w:t>
            </w:r>
          </w:p>
        </w:tc>
      </w:tr>
      <w:tr>
        <w:tc>
          <w:tcPr>
            <w:tcW w:w="913" w:type="dxa"/>
          </w:tcPr>
          <w:p>
            <w:pPr>
              <w:pStyle w:val="0"/>
            </w:pPr>
            <w:r>
              <w:rPr>
                <w:sz w:val="20"/>
              </w:rPr>
            </w:r>
          </w:p>
        </w:tc>
        <w:tc>
          <w:tcPr>
            <w:gridSpan w:val="2"/>
            <w:tcW w:w="4252" w:type="dxa"/>
          </w:tcPr>
          <w:p>
            <w:pPr>
              <w:pStyle w:val="0"/>
            </w:pPr>
            <w:r>
              <w:rPr>
                <w:sz w:val="20"/>
              </w:rPr>
            </w:r>
          </w:p>
        </w:tc>
        <w:tc>
          <w:tcPr>
            <w:gridSpan w:val="3"/>
            <w:tcW w:w="3884" w:type="dxa"/>
          </w:tcPr>
          <w:p>
            <w:pPr>
              <w:pStyle w:val="0"/>
            </w:pPr>
            <w:r>
              <w:rPr>
                <w:sz w:val="20"/>
              </w:rPr>
            </w:r>
          </w:p>
        </w:tc>
      </w:tr>
      <w:tr>
        <w:tc>
          <w:tcPr>
            <w:tcW w:w="913" w:type="dxa"/>
          </w:tcPr>
          <w:p>
            <w:pPr>
              <w:pStyle w:val="0"/>
            </w:pPr>
            <w:r>
              <w:rPr>
                <w:sz w:val="20"/>
              </w:rPr>
            </w:r>
          </w:p>
        </w:tc>
        <w:tc>
          <w:tcPr>
            <w:gridSpan w:val="2"/>
            <w:tcW w:w="4252" w:type="dxa"/>
          </w:tcPr>
          <w:p>
            <w:pPr>
              <w:pStyle w:val="0"/>
            </w:pPr>
            <w:r>
              <w:rPr>
                <w:sz w:val="20"/>
              </w:rPr>
            </w:r>
          </w:p>
        </w:tc>
        <w:tc>
          <w:tcPr>
            <w:gridSpan w:val="3"/>
            <w:tcW w:w="3884" w:type="dxa"/>
          </w:tcPr>
          <w:p>
            <w:pPr>
              <w:pStyle w:val="0"/>
            </w:pPr>
            <w:r>
              <w:rPr>
                <w:sz w:val="20"/>
              </w:rPr>
            </w:r>
          </w:p>
        </w:tc>
      </w:tr>
      <w:tr>
        <w:tc>
          <w:tcPr>
            <w:tcW w:w="913" w:type="dxa"/>
          </w:tcPr>
          <w:p>
            <w:pPr>
              <w:pStyle w:val="0"/>
            </w:pPr>
            <w:r>
              <w:rPr>
                <w:sz w:val="20"/>
              </w:rPr>
            </w:r>
          </w:p>
        </w:tc>
        <w:tc>
          <w:tcPr>
            <w:gridSpan w:val="2"/>
            <w:tcW w:w="4252" w:type="dxa"/>
          </w:tcPr>
          <w:p>
            <w:pPr>
              <w:pStyle w:val="0"/>
            </w:pPr>
            <w:r>
              <w:rPr>
                <w:sz w:val="20"/>
              </w:rPr>
            </w:r>
          </w:p>
        </w:tc>
        <w:tc>
          <w:tcPr>
            <w:gridSpan w:val="3"/>
            <w:tcW w:w="3884" w:type="dxa"/>
          </w:tcPr>
          <w:p>
            <w:pPr>
              <w:pStyle w:val="0"/>
            </w:pPr>
            <w:r>
              <w:rPr>
                <w:sz w:val="20"/>
              </w:rPr>
            </w:r>
          </w:p>
        </w:tc>
      </w:tr>
      <w:tr>
        <w:tblPrEx>
          <w:tblBorders>
            <w:left w:val="nil"/>
            <w:right w:val="nil"/>
            <w:insideH w:val="nil"/>
          </w:tblBorders>
        </w:tblPrEx>
        <w:tc>
          <w:tcPr>
            <w:gridSpan w:val="6"/>
            <w:tcW w:w="9049" w:type="dxa"/>
            <w:tcBorders>
              <w:left w:val="nil"/>
              <w:bottom w:val="nil"/>
              <w:right w:val="nil"/>
            </w:tcBorders>
          </w:tcPr>
          <w:p>
            <w:pPr>
              <w:pStyle w:val="0"/>
            </w:pPr>
            <w:r>
              <w:rPr>
                <w:sz w:val="20"/>
              </w:rPr>
            </w:r>
          </w:p>
        </w:tc>
      </w:tr>
      <w:tr>
        <w:tblPrEx>
          <w:tblBorders>
            <w:left w:val="nil"/>
            <w:right w:val="nil"/>
            <w:insideH w:val="nil"/>
          </w:tblBorders>
        </w:tblPrEx>
        <w:tc>
          <w:tcPr>
            <w:gridSpan w:val="6"/>
            <w:tcW w:w="9049" w:type="dxa"/>
            <w:tcBorders>
              <w:top w:val="nil"/>
              <w:left w:val="nil"/>
              <w:bottom w:val="nil"/>
              <w:right w:val="nil"/>
            </w:tcBorders>
          </w:tcPr>
          <w:p>
            <w:pPr>
              <w:pStyle w:val="0"/>
            </w:pPr>
            <w:r>
              <w:rPr>
                <w:sz w:val="20"/>
              </w:rPr>
              <w:t xml:space="preserve">Руководитель участника</w:t>
            </w:r>
          </w:p>
          <w:p>
            <w:pPr>
              <w:pStyle w:val="0"/>
            </w:pPr>
            <w:r>
              <w:rPr>
                <w:sz w:val="20"/>
              </w:rPr>
              <w:t xml:space="preserve">отбора</w:t>
            </w:r>
          </w:p>
        </w:tc>
      </w:tr>
      <w:tr>
        <w:tblPrEx>
          <w:tblBorders>
            <w:left w:val="nil"/>
            <w:right w:val="nil"/>
            <w:insideV w:val="nil"/>
            <w:insideH w:val="nil"/>
          </w:tblBorders>
        </w:tblPrEx>
        <w:tc>
          <w:tcPr>
            <w:gridSpan w:val="2"/>
            <w:tcW w:w="2948" w:type="dxa"/>
            <w:tcBorders>
              <w:top w:val="nil"/>
              <w:bottom w:val="nil"/>
            </w:tcBorders>
          </w:tcPr>
          <w:p>
            <w:pPr>
              <w:pStyle w:val="0"/>
            </w:pPr>
            <w:r>
              <w:rPr>
                <w:sz w:val="20"/>
              </w:rPr>
            </w:r>
          </w:p>
        </w:tc>
        <w:tc>
          <w:tcPr>
            <w:tcW w:w="2217" w:type="dxa"/>
            <w:tcBorders>
              <w:top w:val="nil"/>
              <w:bottom w:val="nil"/>
            </w:tcBorders>
          </w:tcPr>
          <w:p>
            <w:pPr>
              <w:pStyle w:val="0"/>
            </w:pPr>
            <w:r>
              <w:rPr>
                <w:sz w:val="20"/>
              </w:rPr>
              <w:t xml:space="preserve">___________</w:t>
            </w:r>
          </w:p>
          <w:p>
            <w:pPr>
              <w:pStyle w:val="0"/>
            </w:pPr>
            <w:r>
              <w:rPr>
                <w:sz w:val="20"/>
              </w:rPr>
              <w:t xml:space="preserve">(подпись)</w:t>
            </w:r>
          </w:p>
        </w:tc>
        <w:tc>
          <w:tcPr>
            <w:tcW w:w="249" w:type="dxa"/>
            <w:tcBorders>
              <w:top w:val="nil"/>
              <w:bottom w:val="nil"/>
            </w:tcBorders>
          </w:tcPr>
          <w:p>
            <w:pPr>
              <w:pStyle w:val="0"/>
              <w:jc w:val="both"/>
            </w:pPr>
            <w:r>
              <w:rPr>
                <w:sz w:val="20"/>
              </w:rPr>
            </w:r>
          </w:p>
        </w:tc>
        <w:tc>
          <w:tcPr>
            <w:gridSpan w:val="2"/>
            <w:tcW w:w="3635" w:type="dxa"/>
            <w:tcBorders>
              <w:top w:val="nil"/>
              <w:bottom w:val="nil"/>
            </w:tcBorders>
          </w:tcPr>
          <w:p>
            <w:pPr>
              <w:pStyle w:val="0"/>
              <w:jc w:val="center"/>
            </w:pPr>
            <w:r>
              <w:rPr>
                <w:sz w:val="20"/>
              </w:rPr>
              <w:t xml:space="preserve">_________________________</w:t>
            </w:r>
          </w:p>
          <w:p>
            <w:pPr>
              <w:pStyle w:val="0"/>
              <w:jc w:val="center"/>
            </w:pPr>
            <w:r>
              <w:rPr>
                <w:sz w:val="20"/>
              </w:rPr>
              <w:t xml:space="preserve">(Ф.И.О.)</w:t>
            </w:r>
          </w:p>
        </w:tc>
      </w:tr>
      <w:tr>
        <w:tblPrEx>
          <w:tblBorders>
            <w:left w:val="nil"/>
            <w:right w:val="nil"/>
            <w:insideH w:val="nil"/>
          </w:tblBorders>
        </w:tblPrEx>
        <w:tc>
          <w:tcPr>
            <w:gridSpan w:val="6"/>
            <w:tcW w:w="9049" w:type="dxa"/>
            <w:tcBorders>
              <w:top w:val="nil"/>
              <w:left w:val="nil"/>
              <w:bottom w:val="nil"/>
              <w:right w:val="nil"/>
            </w:tcBorders>
          </w:tcPr>
          <w:p>
            <w:pPr>
              <w:pStyle w:val="0"/>
            </w:pPr>
            <w:r>
              <w:rPr>
                <w:sz w:val="20"/>
              </w:rPr>
              <w:t xml:space="preserve">Дата ______________</w:t>
            </w:r>
          </w:p>
          <w:p>
            <w:pPr>
              <w:pStyle w:val="0"/>
            </w:pPr>
            <w:r>
              <w:rPr>
                <w:sz w:val="20"/>
              </w:rPr>
              <w:t xml:space="preserve">МП (при наличии)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3</w:t>
      </w:r>
    </w:p>
    <w:p>
      <w:pPr>
        <w:pStyle w:val="0"/>
        <w:jc w:val="right"/>
      </w:pPr>
      <w:r>
        <w:rPr>
          <w:sz w:val="20"/>
        </w:rPr>
        <w:t xml:space="preserve">к Порядку</w:t>
      </w:r>
    </w:p>
    <w:p>
      <w:pPr>
        <w:pStyle w:val="0"/>
        <w:jc w:val="right"/>
      </w:pPr>
      <w:r>
        <w:rPr>
          <w:sz w:val="20"/>
        </w:rPr>
        <w:t xml:space="preserve">предоставления гранта в форме субсидии</w:t>
      </w:r>
    </w:p>
    <w:p>
      <w:pPr>
        <w:pStyle w:val="0"/>
        <w:jc w:val="right"/>
      </w:pPr>
      <w:r>
        <w:rPr>
          <w:sz w:val="20"/>
        </w:rPr>
        <w:t xml:space="preserve">на развитие деятельности негосударственных</w:t>
      </w:r>
    </w:p>
    <w:p>
      <w:pPr>
        <w:pStyle w:val="0"/>
        <w:jc w:val="right"/>
      </w:pPr>
      <w:r>
        <w:rPr>
          <w:sz w:val="20"/>
        </w:rPr>
        <w:t xml:space="preserve">организаций в сфере театрального искусства</w:t>
      </w:r>
    </w:p>
    <w:p>
      <w:pPr>
        <w:pStyle w:val="0"/>
        <w:jc w:val="right"/>
      </w:pPr>
      <w:r>
        <w:rPr>
          <w:sz w:val="20"/>
        </w:rPr>
        <w:t xml:space="preserve">Воронежской области</w:t>
      </w:r>
    </w:p>
    <w:p>
      <w:pPr>
        <w:pStyle w:val="0"/>
        <w:ind w:firstLine="540"/>
        <w:jc w:val="both"/>
      </w:pPr>
      <w:r>
        <w:rPr>
          <w:sz w:val="20"/>
        </w:rPr>
      </w:r>
    </w:p>
    <w:bookmarkStart w:id="368" w:name="P368"/>
    <w:bookmarkEnd w:id="368"/>
    <w:p>
      <w:pPr>
        <w:pStyle w:val="2"/>
        <w:jc w:val="center"/>
      </w:pPr>
      <w:r>
        <w:rPr>
          <w:sz w:val="20"/>
        </w:rPr>
        <w:t xml:space="preserve">Критерии оценки заявки участников отбора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0"/>
        <w:gridCol w:w="5726"/>
        <w:gridCol w:w="1552"/>
        <w:gridCol w:w="1304"/>
      </w:tblGrid>
      <w:tr>
        <w:tc>
          <w:tcPr>
            <w:tcW w:w="460" w:type="dxa"/>
          </w:tcPr>
          <w:p>
            <w:pPr>
              <w:pStyle w:val="0"/>
              <w:jc w:val="center"/>
            </w:pPr>
            <w:r>
              <w:rPr>
                <w:sz w:val="20"/>
              </w:rPr>
              <w:t xml:space="preserve">N п/п</w:t>
            </w:r>
          </w:p>
        </w:tc>
        <w:tc>
          <w:tcPr>
            <w:tcW w:w="5726" w:type="dxa"/>
          </w:tcPr>
          <w:p>
            <w:pPr>
              <w:pStyle w:val="0"/>
              <w:jc w:val="center"/>
            </w:pPr>
            <w:r>
              <w:rPr>
                <w:sz w:val="20"/>
              </w:rPr>
              <w:t xml:space="preserve">Наименование критерия оценки заявок</w:t>
            </w:r>
          </w:p>
        </w:tc>
        <w:tc>
          <w:tcPr>
            <w:tcW w:w="1552" w:type="dxa"/>
          </w:tcPr>
          <w:p>
            <w:pPr>
              <w:pStyle w:val="0"/>
              <w:jc w:val="center"/>
            </w:pPr>
            <w:r>
              <w:rPr>
                <w:sz w:val="20"/>
              </w:rPr>
              <w:t xml:space="preserve">Оценка по результатам рассмотрения заявки (количество баллов)</w:t>
            </w:r>
          </w:p>
        </w:tc>
        <w:tc>
          <w:tcPr>
            <w:tcW w:w="1304" w:type="dxa"/>
          </w:tcPr>
          <w:p>
            <w:pPr>
              <w:pStyle w:val="0"/>
              <w:jc w:val="center"/>
            </w:pPr>
            <w:r>
              <w:rPr>
                <w:sz w:val="20"/>
              </w:rPr>
              <w:t xml:space="preserve">Весовое значение критерия</w:t>
            </w:r>
          </w:p>
        </w:tc>
      </w:tr>
      <w:tr>
        <w:tc>
          <w:tcPr>
            <w:tcW w:w="460" w:type="dxa"/>
          </w:tcPr>
          <w:p>
            <w:pPr>
              <w:pStyle w:val="0"/>
              <w:jc w:val="center"/>
            </w:pPr>
            <w:r>
              <w:rPr>
                <w:sz w:val="20"/>
              </w:rPr>
              <w:t xml:space="preserve">1</w:t>
            </w:r>
          </w:p>
        </w:tc>
        <w:tc>
          <w:tcPr>
            <w:tcW w:w="5726" w:type="dxa"/>
          </w:tcPr>
          <w:p>
            <w:pPr>
              <w:pStyle w:val="0"/>
              <w:jc w:val="center"/>
            </w:pPr>
            <w:r>
              <w:rPr>
                <w:sz w:val="20"/>
              </w:rPr>
              <w:t xml:space="preserve">2</w:t>
            </w:r>
          </w:p>
        </w:tc>
        <w:tc>
          <w:tcPr>
            <w:tcW w:w="1552" w:type="dxa"/>
          </w:tcPr>
          <w:p>
            <w:pPr>
              <w:pStyle w:val="0"/>
              <w:jc w:val="center"/>
            </w:pPr>
            <w:r>
              <w:rPr>
                <w:sz w:val="20"/>
              </w:rPr>
              <w:t xml:space="preserve">3</w:t>
            </w:r>
          </w:p>
        </w:tc>
        <w:tc>
          <w:tcPr>
            <w:tcW w:w="1304" w:type="dxa"/>
          </w:tcPr>
          <w:p>
            <w:pPr>
              <w:pStyle w:val="0"/>
              <w:jc w:val="center"/>
            </w:pPr>
            <w:r>
              <w:rPr>
                <w:sz w:val="20"/>
              </w:rPr>
              <w:t xml:space="preserve">4</w:t>
            </w:r>
          </w:p>
        </w:tc>
      </w:tr>
      <w:tr>
        <w:tc>
          <w:tcPr>
            <w:tcW w:w="460" w:type="dxa"/>
          </w:tcPr>
          <w:p>
            <w:pPr>
              <w:pStyle w:val="0"/>
              <w:outlineLvl w:val="2"/>
              <w:jc w:val="center"/>
            </w:pPr>
            <w:r>
              <w:rPr>
                <w:sz w:val="20"/>
              </w:rPr>
              <w:t xml:space="preserve">1</w:t>
            </w:r>
          </w:p>
        </w:tc>
        <w:tc>
          <w:tcPr>
            <w:tcW w:w="5726" w:type="dxa"/>
          </w:tcPr>
          <w:p>
            <w:pPr>
              <w:pStyle w:val="0"/>
              <w:ind w:firstLine="283"/>
              <w:jc w:val="both"/>
            </w:pPr>
            <w:r>
              <w:rPr>
                <w:sz w:val="20"/>
              </w:rPr>
              <w:t xml:space="preserve">Актуальность и значимость проекта</w:t>
            </w:r>
          </w:p>
        </w:tc>
        <w:tc>
          <w:tcPr>
            <w:tcW w:w="1552" w:type="dxa"/>
          </w:tcPr>
          <w:p>
            <w:pPr>
              <w:pStyle w:val="0"/>
              <w:jc w:val="center"/>
            </w:pPr>
            <w:r>
              <w:rPr>
                <w:sz w:val="20"/>
              </w:rPr>
            </w:r>
          </w:p>
        </w:tc>
        <w:tc>
          <w:tcPr>
            <w:tcW w:w="1304" w:type="dxa"/>
          </w:tcPr>
          <w:p>
            <w:pPr>
              <w:pStyle w:val="0"/>
              <w:jc w:val="center"/>
            </w:pPr>
            <w:r>
              <w:rPr>
                <w:sz w:val="20"/>
              </w:rPr>
            </w:r>
          </w:p>
        </w:tc>
      </w:tr>
      <w:tr>
        <w:tc>
          <w:tcPr>
            <w:tcW w:w="460" w:type="dxa"/>
          </w:tcPr>
          <w:p>
            <w:pPr>
              <w:pStyle w:val="0"/>
            </w:pPr>
            <w:r>
              <w:rPr>
                <w:sz w:val="20"/>
              </w:rPr>
              <w:t xml:space="preserve">1.1</w:t>
            </w:r>
          </w:p>
        </w:tc>
        <w:tc>
          <w:tcPr>
            <w:tcW w:w="5726" w:type="dxa"/>
          </w:tcPr>
          <w:p>
            <w:pPr>
              <w:pStyle w:val="0"/>
              <w:ind w:firstLine="283"/>
              <w:jc w:val="both"/>
            </w:pPr>
            <w:r>
              <w:rPr>
                <w:sz w:val="20"/>
              </w:rPr>
              <w:t xml:space="preserve">Актуальность и социальная значимость проекта убедительно доказаны:</w:t>
            </w:r>
          </w:p>
          <w:p>
            <w:pPr>
              <w:pStyle w:val="0"/>
              <w:ind w:firstLine="283"/>
              <w:jc w:val="both"/>
            </w:pPr>
            <w:r>
              <w:rPr>
                <w:sz w:val="20"/>
              </w:rPr>
              <w:t xml:space="preserve">- проблемы, на решение которых направлен проект, детально раскрыты, их описание аргументировано и подкреплено конкретными количественными и (или) качественными показателями, в том числе обеспечивающими достижение целей, показателей и результатов национального проекта (программы), в том числе федерального проекта, входящего в состав соответствующего национального проекта (программы), или регионального проекта, обеспечивающего достижение целей, показателей и результатов федерального проекта;</w:t>
            </w:r>
          </w:p>
          <w:p>
            <w:pPr>
              <w:pStyle w:val="0"/>
              <w:ind w:firstLine="283"/>
              <w:jc w:val="both"/>
            </w:pPr>
            <w:r>
              <w:rPr>
                <w:sz w:val="20"/>
              </w:rPr>
              <w:t xml:space="preserve">- проект направлен в полной мере на решение именно тех проблем, которые обозначены как значимые;</w:t>
            </w:r>
          </w:p>
          <w:p>
            <w:pPr>
              <w:pStyle w:val="0"/>
              <w:ind w:firstLine="283"/>
              <w:jc w:val="both"/>
            </w:pPr>
            <w:r>
              <w:rPr>
                <w:sz w:val="20"/>
              </w:rPr>
              <w:t xml:space="preserve">- имеется подтверждение актуальности проблемы представителями целевой аудитории, потенциальными благополучателями, партнерами;</w:t>
            </w:r>
          </w:p>
          <w:p>
            <w:pPr>
              <w:pStyle w:val="0"/>
              <w:ind w:firstLine="283"/>
              <w:jc w:val="both"/>
            </w:pPr>
            <w:r>
              <w:rPr>
                <w:sz w:val="20"/>
              </w:rPr>
              <w:t xml:space="preserve">- мероприятия проекта полностью соответствуют грантовым направлениям</w:t>
            </w:r>
          </w:p>
        </w:tc>
        <w:tc>
          <w:tcPr>
            <w:tcW w:w="1552" w:type="dxa"/>
          </w:tcPr>
          <w:p>
            <w:pPr>
              <w:pStyle w:val="0"/>
              <w:jc w:val="center"/>
            </w:pPr>
            <w:r>
              <w:rPr>
                <w:sz w:val="20"/>
              </w:rPr>
              <w:t xml:space="preserve">10</w:t>
            </w:r>
          </w:p>
        </w:tc>
        <w:tc>
          <w:tcPr>
            <w:tcW w:w="1304" w:type="dxa"/>
            <w:vMerge w:val="restart"/>
          </w:tcPr>
          <w:p>
            <w:pPr>
              <w:pStyle w:val="0"/>
              <w:jc w:val="center"/>
            </w:pPr>
            <w:r>
              <w:rPr>
                <w:sz w:val="20"/>
              </w:rPr>
              <w:t xml:space="preserve">25%</w:t>
            </w:r>
          </w:p>
        </w:tc>
      </w:tr>
      <w:tr>
        <w:tc>
          <w:tcPr>
            <w:tcW w:w="460" w:type="dxa"/>
          </w:tcPr>
          <w:p>
            <w:pPr>
              <w:pStyle w:val="0"/>
            </w:pPr>
            <w:r>
              <w:rPr>
                <w:sz w:val="20"/>
              </w:rPr>
              <w:t xml:space="preserve">1.2</w:t>
            </w:r>
          </w:p>
        </w:tc>
        <w:tc>
          <w:tcPr>
            <w:tcW w:w="5726" w:type="dxa"/>
          </w:tcPr>
          <w:p>
            <w:pPr>
              <w:pStyle w:val="0"/>
              <w:ind w:firstLine="283"/>
              <w:jc w:val="both"/>
            </w:pPr>
            <w:r>
              <w:rPr>
                <w:sz w:val="20"/>
              </w:rPr>
              <w:t xml:space="preserve">Актуальность и социальная значимость проекта в целом доказаны, однако имеются несущественные замечания эксперта:</w:t>
            </w:r>
          </w:p>
          <w:p>
            <w:pPr>
              <w:pStyle w:val="0"/>
              <w:ind w:firstLine="283"/>
              <w:jc w:val="both"/>
            </w:pPr>
            <w:r>
              <w:rPr>
                <w:sz w:val="20"/>
              </w:rPr>
              <w:t xml:space="preserve">- проблемы, на решение которых направлен проект, относятся к разряду актуальных, но авторы преувеличили их значимость для выбранной территории реализации проекта и (или) целевой группы;</w:t>
            </w:r>
          </w:p>
          <w:p>
            <w:pPr>
              <w:pStyle w:val="0"/>
              <w:ind w:firstLine="283"/>
              <w:jc w:val="both"/>
            </w:pPr>
            <w:r>
              <w:rPr>
                <w:sz w:val="20"/>
              </w:rPr>
              <w:t xml:space="preserve">- проблемы, на решение которых направлен проект, описаны общими фразами, без ссылок на конкретные факты, либо этих фактов и показателей недостаточно для подтверждения актуальности проблемы для заявленной целевой группы и (или) территории реализации проекта;</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460" w:type="dxa"/>
          </w:tcPr>
          <w:p>
            <w:pPr>
              <w:pStyle w:val="0"/>
            </w:pPr>
            <w:r>
              <w:rPr>
                <w:sz w:val="20"/>
              </w:rPr>
              <w:t xml:space="preserve">1.3</w:t>
            </w:r>
          </w:p>
        </w:tc>
        <w:tc>
          <w:tcPr>
            <w:tcW w:w="5726" w:type="dxa"/>
          </w:tcPr>
          <w:p>
            <w:pPr>
              <w:pStyle w:val="0"/>
              <w:ind w:firstLine="283"/>
              <w:jc w:val="both"/>
            </w:pPr>
            <w:r>
              <w:rPr>
                <w:sz w:val="20"/>
              </w:rPr>
              <w:t xml:space="preserve">Актуальность и социальная значимость проекта доказаны недостаточно убедительно:</w:t>
            </w:r>
          </w:p>
          <w:p>
            <w:pPr>
              <w:pStyle w:val="0"/>
              <w:ind w:firstLine="283"/>
              <w:jc w:val="both"/>
            </w:pPr>
            <w:r>
              <w:rPr>
                <w:sz w:val="20"/>
              </w:rPr>
              <w:t xml:space="preserve">- проблема не имеет острой значимости для целевой группы или территории реализации проекта;</w:t>
            </w:r>
          </w:p>
          <w:p>
            <w:pPr>
              <w:pStyle w:val="0"/>
              <w:ind w:firstLine="283"/>
              <w:jc w:val="both"/>
            </w:pPr>
            <w:r>
              <w:rPr>
                <w:sz w:val="20"/>
              </w:rPr>
              <w:t xml:space="preserve">- в проекте недостаточно аргументированно и без конкретных показателей описана проблема, на решение которой направлен проект, либо не подтверждено взаимодействие с территориями, обозначенными в заявке;</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460" w:type="dxa"/>
          </w:tcPr>
          <w:p>
            <w:pPr>
              <w:pStyle w:val="0"/>
            </w:pPr>
            <w:r>
              <w:rPr>
                <w:sz w:val="20"/>
              </w:rPr>
              <w:t xml:space="preserve">1.4</w:t>
            </w:r>
          </w:p>
        </w:tc>
        <w:tc>
          <w:tcPr>
            <w:tcW w:w="5726" w:type="dxa"/>
          </w:tcPr>
          <w:p>
            <w:pPr>
              <w:pStyle w:val="0"/>
              <w:ind w:firstLine="283"/>
              <w:jc w:val="both"/>
            </w:pPr>
            <w:r>
              <w:rPr>
                <w:sz w:val="20"/>
              </w:rPr>
              <w:t xml:space="preserve">Актуальность и социальная значимость проекта не доказаны:</w:t>
            </w:r>
          </w:p>
          <w:p>
            <w:pPr>
              <w:pStyle w:val="0"/>
              <w:ind w:firstLine="283"/>
              <w:jc w:val="both"/>
            </w:pPr>
            <w:r>
              <w:rPr>
                <w:sz w:val="20"/>
              </w:rPr>
              <w:t xml:space="preserve">- проблема, которой посвящен проект, не относится к разряду востребованных обществом либо слабо обоснована авторами;</w:t>
            </w:r>
          </w:p>
          <w:p>
            <w:pPr>
              <w:pStyle w:val="0"/>
              <w:ind w:firstLine="283"/>
              <w:jc w:val="both"/>
            </w:pPr>
            <w:r>
              <w:rPr>
                <w:sz w:val="20"/>
              </w:rPr>
              <w:t xml:space="preserve">- большая часть мероприятий проекта не связана с выбранным грантовым направлением;</w:t>
            </w:r>
          </w:p>
          <w:p>
            <w:pPr>
              <w:pStyle w:val="0"/>
              <w:ind w:firstLine="283"/>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460" w:type="dxa"/>
          </w:tcPr>
          <w:p>
            <w:pPr>
              <w:pStyle w:val="0"/>
              <w:outlineLvl w:val="2"/>
            </w:pPr>
            <w:r>
              <w:rPr>
                <w:sz w:val="20"/>
              </w:rPr>
              <w:t xml:space="preserve">2</w:t>
            </w:r>
          </w:p>
        </w:tc>
        <w:tc>
          <w:tcPr>
            <w:tcW w:w="5726" w:type="dxa"/>
          </w:tcPr>
          <w:p>
            <w:pPr>
              <w:pStyle w:val="0"/>
              <w:ind w:firstLine="283"/>
              <w:jc w:val="both"/>
            </w:pPr>
            <w:r>
              <w:rPr>
                <w:sz w:val="20"/>
              </w:rPr>
              <w:t xml:space="preserve">Логическая связность и реализуемость проекта, соответствие мероприятий проекта его целям, задачам и ожидаемым результатам</w:t>
            </w:r>
          </w:p>
        </w:tc>
        <w:tc>
          <w:tcPr>
            <w:tcW w:w="1552" w:type="dxa"/>
          </w:tcPr>
          <w:p>
            <w:pPr>
              <w:pStyle w:val="0"/>
              <w:jc w:val="center"/>
            </w:pPr>
            <w:r>
              <w:rPr>
                <w:sz w:val="20"/>
              </w:rPr>
            </w:r>
          </w:p>
        </w:tc>
        <w:tc>
          <w:tcPr>
            <w:tcW w:w="1304" w:type="dxa"/>
          </w:tcPr>
          <w:p>
            <w:pPr>
              <w:pStyle w:val="0"/>
              <w:jc w:val="center"/>
            </w:pPr>
            <w:r>
              <w:rPr>
                <w:sz w:val="20"/>
              </w:rPr>
            </w:r>
          </w:p>
        </w:tc>
      </w:tr>
      <w:tr>
        <w:tc>
          <w:tcPr>
            <w:tcW w:w="460" w:type="dxa"/>
          </w:tcPr>
          <w:p>
            <w:pPr>
              <w:pStyle w:val="0"/>
            </w:pPr>
            <w:r>
              <w:rPr>
                <w:sz w:val="20"/>
              </w:rPr>
              <w:t xml:space="preserve">2.1</w:t>
            </w:r>
          </w:p>
        </w:tc>
        <w:tc>
          <w:tcPr>
            <w:tcW w:w="5726" w:type="dxa"/>
          </w:tcPr>
          <w:p>
            <w:pPr>
              <w:pStyle w:val="0"/>
              <w:ind w:firstLine="283"/>
              <w:jc w:val="both"/>
            </w:pPr>
            <w:r>
              <w:rPr>
                <w:sz w:val="20"/>
              </w:rPr>
              <w:t xml:space="preserve">Проект полностью соответствует данному критерию:</w:t>
            </w:r>
          </w:p>
          <w:p>
            <w:pPr>
              <w:pStyle w:val="0"/>
              <w:ind w:firstLine="283"/>
              <w:jc w:val="both"/>
            </w:pPr>
            <w:r>
              <w:rPr>
                <w:sz w:val="20"/>
              </w:rPr>
              <w:t xml:space="preserve">- все разделы заявки логически взаимосвязаны, каждый раздел содержит информацию, необходимую и достаточную для полного понимания содержания проекта;</w:t>
            </w:r>
          </w:p>
          <w:p>
            <w:pPr>
              <w:pStyle w:val="0"/>
              <w:ind w:firstLine="283"/>
              <w:jc w:val="both"/>
            </w:pPr>
            <w:r>
              <w:rPr>
                <w:sz w:val="20"/>
              </w:rPr>
              <w:t xml:space="preserve">- календарный план хорошо структурирован, детализирован, содержит описание конкретных мероприятий;</w:t>
            </w:r>
          </w:p>
          <w:p>
            <w:pPr>
              <w:pStyle w:val="0"/>
              <w:ind w:firstLine="283"/>
              <w:jc w:val="both"/>
            </w:pPr>
            <w:r>
              <w:rPr>
                <w:sz w:val="20"/>
              </w:rPr>
              <w:t xml:space="preserve">- запланированные мероприятия соответствуют условиям конкурса и обеспечивают решение поставленных задач и достижение предполагаемых результатов проекта;</w:t>
            </w:r>
          </w:p>
          <w:p>
            <w:pPr>
              <w:pStyle w:val="0"/>
              <w:ind w:firstLine="283"/>
              <w:jc w:val="both"/>
            </w:pPr>
            <w:r>
              <w:rPr>
                <w:sz w:val="20"/>
              </w:rPr>
              <w:t xml:space="preserve">- указаны конкретные и разумные сроки, позволяющие в полной мере решить задачи проекта</w:t>
            </w:r>
          </w:p>
        </w:tc>
        <w:tc>
          <w:tcPr>
            <w:tcW w:w="1552" w:type="dxa"/>
          </w:tcPr>
          <w:p>
            <w:pPr>
              <w:pStyle w:val="0"/>
              <w:jc w:val="center"/>
            </w:pPr>
            <w:r>
              <w:rPr>
                <w:sz w:val="20"/>
              </w:rPr>
              <w:t xml:space="preserve">10</w:t>
            </w:r>
          </w:p>
        </w:tc>
        <w:tc>
          <w:tcPr>
            <w:tcW w:w="1304" w:type="dxa"/>
            <w:vMerge w:val="restart"/>
          </w:tcPr>
          <w:p>
            <w:pPr>
              <w:pStyle w:val="0"/>
              <w:jc w:val="center"/>
            </w:pPr>
            <w:r>
              <w:rPr>
                <w:sz w:val="20"/>
              </w:rPr>
              <w:t xml:space="preserve">18%</w:t>
            </w:r>
          </w:p>
        </w:tc>
      </w:tr>
      <w:tr>
        <w:tc>
          <w:tcPr>
            <w:tcW w:w="460" w:type="dxa"/>
          </w:tcPr>
          <w:p>
            <w:pPr>
              <w:pStyle w:val="0"/>
            </w:pPr>
            <w:r>
              <w:rPr>
                <w:sz w:val="20"/>
              </w:rPr>
              <w:t xml:space="preserve">2.2</w:t>
            </w:r>
          </w:p>
        </w:tc>
        <w:tc>
          <w:tcPr>
            <w:tcW w:w="5726" w:type="dxa"/>
          </w:tcPr>
          <w:p>
            <w:pPr>
              <w:pStyle w:val="0"/>
              <w:ind w:firstLine="283"/>
              <w:jc w:val="both"/>
            </w:pPr>
            <w:r>
              <w:rPr>
                <w:sz w:val="20"/>
              </w:rPr>
              <w:t xml:space="preserve">По данному критерию проект в целом проработан, однако имеются несущественные замечания эксперта:</w:t>
            </w:r>
          </w:p>
          <w:p>
            <w:pPr>
              <w:pStyle w:val="0"/>
              <w:ind w:firstLine="283"/>
              <w:jc w:val="both"/>
            </w:pPr>
            <w:r>
              <w:rPr>
                <w:sz w:val="20"/>
              </w:rPr>
              <w:t xml:space="preserve">- все разделы заявки логически взаимосвязаны, однако имеются несущественные смысловые несоответствия, что нарушает внутреннюю целостность проекта;</w:t>
            </w:r>
          </w:p>
          <w:p>
            <w:pPr>
              <w:pStyle w:val="0"/>
              <w:ind w:firstLine="283"/>
              <w:jc w:val="both"/>
            </w:pPr>
            <w:r>
              <w:rPr>
                <w:sz w:val="20"/>
              </w:rPr>
              <w:t xml:space="preserve">- запланированные мероприятия соответствуют условиям конкурса и обеспечивают решение поставленных задач и достижение предполагаемых результатов проекта, вместе с тем состав мероприятий не является полностью оптимальным и (или) сроки выполнения отдельных мероприятий проекта требуют корректировки</w:t>
            </w:r>
          </w:p>
        </w:tc>
        <w:tc>
          <w:tcPr>
            <w:tcW w:w="1552" w:type="dxa"/>
          </w:tcPr>
          <w:p>
            <w:pPr>
              <w:pStyle w:val="0"/>
              <w:jc w:val="center"/>
            </w:pPr>
            <w:r>
              <w:rPr>
                <w:sz w:val="20"/>
              </w:rPr>
              <w:t xml:space="preserve">8</w:t>
            </w:r>
          </w:p>
        </w:tc>
        <w:tc>
          <w:tcPr>
            <w:vMerge w:val="continue"/>
          </w:tcPr>
          <w:p/>
        </w:tc>
      </w:tr>
      <w:tr>
        <w:tc>
          <w:tcPr>
            <w:tcW w:w="460" w:type="dxa"/>
          </w:tcPr>
          <w:p>
            <w:pPr>
              <w:pStyle w:val="0"/>
            </w:pPr>
            <w:r>
              <w:rPr>
                <w:sz w:val="20"/>
              </w:rPr>
              <w:t xml:space="preserve">2.3</w:t>
            </w:r>
          </w:p>
        </w:tc>
        <w:tc>
          <w:tcPr>
            <w:tcW w:w="5726" w:type="dxa"/>
          </w:tcPr>
          <w:p>
            <w:pPr>
              <w:pStyle w:val="0"/>
              <w:ind w:firstLine="283"/>
              <w:jc w:val="both"/>
            </w:pPr>
            <w:r>
              <w:rPr>
                <w:sz w:val="20"/>
              </w:rPr>
              <w:t xml:space="preserve">Проект по данному критерию проработан недостаточно, имеются замечания эксперта, которые обязательно необходимо устранить:</w:t>
            </w:r>
          </w:p>
          <w:p>
            <w:pPr>
              <w:pStyle w:val="0"/>
              <w:ind w:firstLine="283"/>
              <w:jc w:val="both"/>
            </w:pPr>
            <w:r>
              <w:rPr>
                <w:sz w:val="20"/>
              </w:rPr>
              <w:t xml:space="preserve">- календарный план описывает лишь общие направления деятельности, не раскрывает последовательность реализации проекта, не позволяет определить содержание основных мероприятий;</w:t>
            </w:r>
          </w:p>
          <w:p>
            <w:pPr>
              <w:pStyle w:val="0"/>
              <w:ind w:firstLine="283"/>
              <w:jc w:val="both"/>
            </w:pPr>
            <w:r>
              <w:rPr>
                <w:sz w:val="20"/>
              </w:rPr>
              <w:t xml:space="preserve">- имеются устранимые нарушения логической связи между задачами, мероприятиями и предполагаемыми результатами;</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460" w:type="dxa"/>
          </w:tcPr>
          <w:p>
            <w:pPr>
              <w:pStyle w:val="0"/>
            </w:pPr>
            <w:r>
              <w:rPr>
                <w:sz w:val="20"/>
              </w:rPr>
              <w:t xml:space="preserve">2.4</w:t>
            </w:r>
          </w:p>
        </w:tc>
        <w:tc>
          <w:tcPr>
            <w:tcW w:w="5726" w:type="dxa"/>
          </w:tcPr>
          <w:p>
            <w:pPr>
              <w:pStyle w:val="0"/>
              <w:ind w:firstLine="283"/>
              <w:jc w:val="both"/>
            </w:pPr>
            <w:r>
              <w:rPr>
                <w:sz w:val="20"/>
              </w:rPr>
              <w:t xml:space="preserve">Проект не соответствует данному критерию:</w:t>
            </w:r>
          </w:p>
          <w:p>
            <w:pPr>
              <w:pStyle w:val="0"/>
              <w:ind w:firstLine="283"/>
              <w:jc w:val="both"/>
            </w:pPr>
            <w:r>
              <w:rPr>
                <w:sz w:val="20"/>
              </w:rPr>
              <w:t xml:space="preserve">- проект проработан на низком уровне, имеются несоответствия мероприятий проекта его целям и задачам, противоречия между планируемой деятельностью и ожидаемыми результатами;</w:t>
            </w:r>
          </w:p>
          <w:p>
            <w:pPr>
              <w:pStyle w:val="0"/>
              <w:ind w:firstLine="283"/>
              <w:jc w:val="both"/>
            </w:pPr>
            <w:r>
              <w:rPr>
                <w:sz w:val="20"/>
              </w:rPr>
              <w:t xml:space="preserve">- существенные ошибки в постановке целей, задач, описании мероприятий, результатов проекта делают реализацию такого проекта нецелесообразной;</w:t>
            </w:r>
          </w:p>
          <w:p>
            <w:pPr>
              <w:pStyle w:val="0"/>
              <w:ind w:firstLine="283"/>
              <w:jc w:val="both"/>
            </w:pPr>
            <w:r>
              <w:rPr>
                <w:sz w:val="20"/>
              </w:rPr>
              <w:t xml:space="preserve">- сроки выполнения мероприятий некорректны и не соответствуют заявленным целям и задачам проекта, из-за непродуманности создают значительные риски реализации проекта;</w:t>
            </w:r>
          </w:p>
          <w:p>
            <w:pPr>
              <w:pStyle w:val="0"/>
              <w:ind w:firstLine="283"/>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460" w:type="dxa"/>
          </w:tcPr>
          <w:p>
            <w:pPr>
              <w:pStyle w:val="0"/>
              <w:outlineLvl w:val="2"/>
            </w:pPr>
            <w:r>
              <w:rPr>
                <w:sz w:val="20"/>
              </w:rPr>
              <w:t xml:space="preserve">3</w:t>
            </w:r>
          </w:p>
        </w:tc>
        <w:tc>
          <w:tcPr>
            <w:tcW w:w="5726" w:type="dxa"/>
          </w:tcPr>
          <w:p>
            <w:pPr>
              <w:pStyle w:val="0"/>
              <w:ind w:firstLine="283"/>
              <w:jc w:val="both"/>
            </w:pPr>
            <w:r>
              <w:rPr>
                <w:sz w:val="20"/>
              </w:rPr>
              <w:t xml:space="preserve">Инновационность, уникальность проекта</w:t>
            </w:r>
          </w:p>
        </w:tc>
        <w:tc>
          <w:tcPr>
            <w:tcW w:w="1552" w:type="dxa"/>
          </w:tcPr>
          <w:p>
            <w:pPr>
              <w:pStyle w:val="0"/>
              <w:jc w:val="center"/>
            </w:pPr>
            <w:r>
              <w:rPr>
                <w:sz w:val="20"/>
              </w:rPr>
            </w:r>
          </w:p>
        </w:tc>
        <w:tc>
          <w:tcPr>
            <w:tcW w:w="1304" w:type="dxa"/>
          </w:tcPr>
          <w:p>
            <w:pPr>
              <w:pStyle w:val="0"/>
              <w:jc w:val="center"/>
            </w:pPr>
            <w:r>
              <w:rPr>
                <w:sz w:val="20"/>
              </w:rPr>
            </w:r>
          </w:p>
        </w:tc>
      </w:tr>
      <w:tr>
        <w:tc>
          <w:tcPr>
            <w:tcW w:w="460" w:type="dxa"/>
          </w:tcPr>
          <w:p>
            <w:pPr>
              <w:pStyle w:val="0"/>
            </w:pPr>
            <w:r>
              <w:rPr>
                <w:sz w:val="20"/>
              </w:rPr>
              <w:t xml:space="preserve">3.1</w:t>
            </w:r>
          </w:p>
        </w:tc>
        <w:tc>
          <w:tcPr>
            <w:tcW w:w="5726" w:type="dxa"/>
          </w:tcPr>
          <w:p>
            <w:pPr>
              <w:pStyle w:val="0"/>
              <w:ind w:firstLine="283"/>
              <w:jc w:val="both"/>
            </w:pPr>
            <w:r>
              <w:rPr>
                <w:sz w:val="20"/>
              </w:rPr>
              <w:t xml:space="preserve">Проект является инновационным, уникальным:</w:t>
            </w:r>
          </w:p>
          <w:p>
            <w:pPr>
              <w:pStyle w:val="0"/>
              <w:ind w:firstLine="283"/>
              <w:jc w:val="both"/>
            </w:pPr>
            <w:r>
              <w:rPr>
                <w:sz w:val="20"/>
              </w:rPr>
              <w:t xml:space="preserve">- проект преимущественно направлен на внедрение новых или значительно улучшенных практик, методов в деятельность организации и (или) ее партнеров, что позволит существенно качественно улучшить такую деятельность</w:t>
            </w:r>
          </w:p>
        </w:tc>
        <w:tc>
          <w:tcPr>
            <w:tcW w:w="1552" w:type="dxa"/>
          </w:tcPr>
          <w:p>
            <w:pPr>
              <w:pStyle w:val="0"/>
              <w:jc w:val="center"/>
            </w:pPr>
            <w:r>
              <w:rPr>
                <w:sz w:val="20"/>
              </w:rPr>
              <w:t xml:space="preserve">10</w:t>
            </w:r>
          </w:p>
        </w:tc>
        <w:tc>
          <w:tcPr>
            <w:tcW w:w="1304" w:type="dxa"/>
            <w:vMerge w:val="restart"/>
          </w:tcPr>
          <w:p>
            <w:pPr>
              <w:pStyle w:val="0"/>
              <w:jc w:val="center"/>
            </w:pPr>
            <w:r>
              <w:rPr>
                <w:sz w:val="20"/>
              </w:rPr>
              <w:t xml:space="preserve">13%</w:t>
            </w:r>
          </w:p>
        </w:tc>
      </w:tr>
      <w:tr>
        <w:tc>
          <w:tcPr>
            <w:tcW w:w="460" w:type="dxa"/>
          </w:tcPr>
          <w:p>
            <w:pPr>
              <w:pStyle w:val="0"/>
            </w:pPr>
            <w:r>
              <w:rPr>
                <w:sz w:val="20"/>
              </w:rPr>
              <w:t xml:space="preserve">3.2</w:t>
            </w:r>
          </w:p>
        </w:tc>
        <w:tc>
          <w:tcPr>
            <w:tcW w:w="5726" w:type="dxa"/>
          </w:tcPr>
          <w:p>
            <w:pPr>
              <w:pStyle w:val="0"/>
              <w:ind w:firstLine="283"/>
              <w:jc w:val="both"/>
            </w:pPr>
            <w:r>
              <w:rPr>
                <w:sz w:val="20"/>
              </w:rPr>
              <w:t xml:space="preserve">Проект имеет признаки инновационности, уникальности, но эти признаки несущественно влияют на его ожидаемые результаты:</w:t>
            </w:r>
          </w:p>
          <w:p>
            <w:pPr>
              <w:pStyle w:val="0"/>
              <w:ind w:firstLine="283"/>
              <w:jc w:val="both"/>
            </w:pPr>
            <w:r>
              <w:rPr>
                <w:sz w:val="20"/>
              </w:rPr>
              <w:t xml:space="preserve">- проект предусматривает внедрение новых или значительно улучшенных процессов, методов, практик, но в заявке четко не описано, как это приведет к изменению содержания и результативности деятельности, которую осуществляют организация и (или) ее партнеры (например, отсутствует описание конкретных результатов внедрения инноваций);</w:t>
            </w:r>
          </w:p>
          <w:p>
            <w:pPr>
              <w:pStyle w:val="0"/>
              <w:ind w:firstLine="283"/>
              <w:jc w:val="both"/>
            </w:pPr>
            <w:r>
              <w:rPr>
                <w:sz w:val="20"/>
              </w:rPr>
              <w:t xml:space="preserve">- у организации есть ресурсы и опыт, чтобы успешно внедрить описанные инновации;</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460" w:type="dxa"/>
          </w:tcPr>
          <w:p>
            <w:pPr>
              <w:pStyle w:val="0"/>
            </w:pPr>
            <w:r>
              <w:rPr>
                <w:sz w:val="20"/>
              </w:rPr>
              <w:t xml:space="preserve">3.3</w:t>
            </w:r>
          </w:p>
        </w:tc>
        <w:tc>
          <w:tcPr>
            <w:tcW w:w="5726" w:type="dxa"/>
          </w:tcPr>
          <w:p>
            <w:pPr>
              <w:pStyle w:val="0"/>
              <w:ind w:firstLine="283"/>
              <w:jc w:val="both"/>
            </w:pPr>
            <w:r>
              <w:rPr>
                <w:sz w:val="20"/>
              </w:rPr>
              <w:t xml:space="preserve">Проект практически не имеет признаков инновационности, уникальности:</w:t>
            </w:r>
          </w:p>
          <w:p>
            <w:pPr>
              <w:pStyle w:val="0"/>
              <w:ind w:firstLine="283"/>
              <w:jc w:val="both"/>
            </w:pPr>
            <w:r>
              <w:rPr>
                <w:sz w:val="20"/>
              </w:rPr>
              <w:t xml:space="preserve">- в заявке упоминается использование новых или значительно улучшенных процессов, методов, практик, вместе с тем состав мероприятий проекта в явном виде не позволяет сделать вывод о том, что проект является уникальным по сравнению с деятельностью других организаций по соответствующей тематике;</w:t>
            </w:r>
          </w:p>
          <w:p>
            <w:pPr>
              <w:pStyle w:val="0"/>
              <w:ind w:firstLine="283"/>
              <w:jc w:val="both"/>
            </w:pPr>
            <w:r>
              <w:rPr>
                <w:sz w:val="20"/>
              </w:rPr>
              <w:t xml:space="preserve">- практики и методики, указанные в заявке, не являются инновационными;</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460" w:type="dxa"/>
          </w:tcPr>
          <w:p>
            <w:pPr>
              <w:pStyle w:val="0"/>
            </w:pPr>
            <w:r>
              <w:rPr>
                <w:sz w:val="20"/>
              </w:rPr>
              <w:t xml:space="preserve">3.4</w:t>
            </w:r>
          </w:p>
        </w:tc>
        <w:tc>
          <w:tcPr>
            <w:tcW w:w="5726" w:type="dxa"/>
          </w:tcPr>
          <w:p>
            <w:pPr>
              <w:pStyle w:val="0"/>
              <w:ind w:firstLine="283"/>
              <w:jc w:val="both"/>
            </w:pPr>
            <w:r>
              <w:rPr>
                <w:sz w:val="20"/>
              </w:rPr>
              <w:t xml:space="preserve">Проект не является инновационным, уникальным:</w:t>
            </w:r>
          </w:p>
          <w:p>
            <w:pPr>
              <w:pStyle w:val="0"/>
              <w:ind w:firstLine="283"/>
              <w:jc w:val="both"/>
            </w:pPr>
            <w:r>
              <w:rPr>
                <w:sz w:val="20"/>
              </w:rPr>
              <w:t xml:space="preserve">- проект, по сути, является продолжением уже осуществляемой (ранее осуществлявшейся) деятельности организации;</w:t>
            </w:r>
          </w:p>
          <w:p>
            <w:pPr>
              <w:pStyle w:val="0"/>
              <w:ind w:firstLine="283"/>
              <w:jc w:val="both"/>
            </w:pPr>
            <w:r>
              <w:rPr>
                <w:sz w:val="20"/>
              </w:rPr>
              <w:t xml:space="preserve">- практики и методики, указанные в заявке, не рекомендуются к применению (на наличие данного обстоятельства необходимо указать в комментарии к оценке с соответствующим обоснованием)</w:t>
            </w:r>
          </w:p>
        </w:tc>
        <w:tc>
          <w:tcPr>
            <w:tcW w:w="1552" w:type="dxa"/>
          </w:tcPr>
          <w:p>
            <w:pPr>
              <w:pStyle w:val="0"/>
              <w:jc w:val="center"/>
            </w:pPr>
            <w:r>
              <w:rPr>
                <w:sz w:val="20"/>
              </w:rPr>
              <w:t xml:space="preserve">2</w:t>
            </w:r>
          </w:p>
        </w:tc>
        <w:tc>
          <w:tcPr>
            <w:vMerge w:val="continue"/>
          </w:tcPr>
          <w:p/>
        </w:tc>
      </w:tr>
      <w:tr>
        <w:tc>
          <w:tcPr>
            <w:tcW w:w="460" w:type="dxa"/>
          </w:tcPr>
          <w:p>
            <w:pPr>
              <w:pStyle w:val="0"/>
              <w:outlineLvl w:val="2"/>
            </w:pPr>
            <w:r>
              <w:rPr>
                <w:sz w:val="20"/>
              </w:rPr>
              <w:t xml:space="preserve">4</w:t>
            </w:r>
          </w:p>
        </w:tc>
        <w:tc>
          <w:tcPr>
            <w:tcW w:w="5726" w:type="dxa"/>
          </w:tcPr>
          <w:p>
            <w:pPr>
              <w:pStyle w:val="0"/>
              <w:ind w:firstLine="283"/>
              <w:jc w:val="both"/>
            </w:pPr>
            <w:r>
              <w:rPr>
                <w:sz w:val="20"/>
              </w:rPr>
              <w:t xml:space="preserve">Соотношение планируемых расходов на реализацию проекта и его ожидаемых результатов, адекватность, измеримость и достижимость таких результатов</w:t>
            </w:r>
          </w:p>
        </w:tc>
        <w:tc>
          <w:tcPr>
            <w:tcW w:w="1552" w:type="dxa"/>
          </w:tcPr>
          <w:p>
            <w:pPr>
              <w:pStyle w:val="0"/>
              <w:jc w:val="center"/>
            </w:pPr>
            <w:r>
              <w:rPr>
                <w:sz w:val="20"/>
              </w:rPr>
            </w:r>
          </w:p>
        </w:tc>
        <w:tc>
          <w:tcPr>
            <w:tcW w:w="1304" w:type="dxa"/>
          </w:tcPr>
          <w:p>
            <w:pPr>
              <w:pStyle w:val="0"/>
              <w:jc w:val="center"/>
            </w:pPr>
            <w:r>
              <w:rPr>
                <w:sz w:val="20"/>
              </w:rPr>
            </w:r>
          </w:p>
        </w:tc>
      </w:tr>
      <w:tr>
        <w:tc>
          <w:tcPr>
            <w:tcW w:w="460" w:type="dxa"/>
          </w:tcPr>
          <w:p>
            <w:pPr>
              <w:pStyle w:val="0"/>
            </w:pPr>
            <w:r>
              <w:rPr>
                <w:sz w:val="20"/>
              </w:rPr>
              <w:t xml:space="preserve">4.1</w:t>
            </w:r>
          </w:p>
        </w:tc>
        <w:tc>
          <w:tcPr>
            <w:tcW w:w="5726" w:type="dxa"/>
          </w:tcPr>
          <w:p>
            <w:pPr>
              <w:pStyle w:val="0"/>
              <w:ind w:firstLine="283"/>
              <w:jc w:val="both"/>
            </w:pPr>
            <w:r>
              <w:rPr>
                <w:sz w:val="20"/>
              </w:rPr>
              <w:t xml:space="preserve">Данный критерий отлично выражен в заявке:</w:t>
            </w:r>
          </w:p>
          <w:p>
            <w:pPr>
              <w:pStyle w:val="0"/>
              <w:ind w:firstLine="283"/>
              <w:jc w:val="both"/>
            </w:pPr>
            <w:r>
              <w:rPr>
                <w:sz w:val="20"/>
              </w:rPr>
              <w:t xml:space="preserve">- в заявке четко изложены ожидаемые результаты проекта, они адекватны, конкретны и измеримы; их получение за общую сумму предполагаемых расходов на реализацию проекта соразмерно и обоснованно</w:t>
            </w:r>
          </w:p>
        </w:tc>
        <w:tc>
          <w:tcPr>
            <w:tcW w:w="1552" w:type="dxa"/>
          </w:tcPr>
          <w:p>
            <w:pPr>
              <w:pStyle w:val="0"/>
              <w:jc w:val="center"/>
            </w:pPr>
            <w:r>
              <w:rPr>
                <w:sz w:val="20"/>
              </w:rPr>
              <w:t xml:space="preserve">10</w:t>
            </w:r>
          </w:p>
        </w:tc>
        <w:tc>
          <w:tcPr>
            <w:tcW w:w="1304" w:type="dxa"/>
            <w:vMerge w:val="restart"/>
          </w:tcPr>
          <w:p>
            <w:pPr>
              <w:pStyle w:val="0"/>
              <w:jc w:val="center"/>
            </w:pPr>
            <w:r>
              <w:rPr>
                <w:sz w:val="20"/>
              </w:rPr>
              <w:t xml:space="preserve">11%</w:t>
            </w:r>
          </w:p>
        </w:tc>
      </w:tr>
      <w:tr>
        <w:tc>
          <w:tcPr>
            <w:tcW w:w="460" w:type="dxa"/>
          </w:tcPr>
          <w:p>
            <w:pPr>
              <w:pStyle w:val="0"/>
            </w:pPr>
            <w:r>
              <w:rPr>
                <w:sz w:val="20"/>
              </w:rPr>
              <w:t xml:space="preserve">4.2</w:t>
            </w:r>
          </w:p>
        </w:tc>
        <w:tc>
          <w:tcPr>
            <w:tcW w:w="5726" w:type="dxa"/>
          </w:tcPr>
          <w:p>
            <w:pPr>
              <w:pStyle w:val="0"/>
              <w:ind w:firstLine="283"/>
              <w:jc w:val="both"/>
            </w:pPr>
            <w:r>
              <w:rPr>
                <w:sz w:val="20"/>
              </w:rPr>
              <w:t xml:space="preserve">Данный критерий хорошо выражен в заявке:</w:t>
            </w:r>
          </w:p>
          <w:p>
            <w:pPr>
              <w:pStyle w:val="0"/>
              <w:ind w:firstLine="283"/>
              <w:jc w:val="both"/>
            </w:pPr>
            <w:r>
              <w:rPr>
                <w:sz w:val="20"/>
              </w:rPr>
              <w:t xml:space="preserve">- в заявке четко изложены ожидаемые результаты проекта, их получение за общую сумму предполагаемых расходов на реализацию обоснованно, вместе с тем содержание запланированной деятельности по достижению указанных результатов (состав мероприятий) не является полностью оптимальным;</w:t>
            </w:r>
          </w:p>
          <w:p>
            <w:pPr>
              <w:pStyle w:val="0"/>
              <w:ind w:firstLine="283"/>
              <w:jc w:val="both"/>
            </w:pPr>
            <w:r>
              <w:rPr>
                <w:sz w:val="20"/>
              </w:rPr>
              <w:t xml:space="preserve">- по описанию запланированных результатов у эксперта имеются несущественные замечания в части их адекватности, измеримости и достижимости (замечания необходимо указать в комментарии к оценке)</w:t>
            </w:r>
          </w:p>
        </w:tc>
        <w:tc>
          <w:tcPr>
            <w:tcW w:w="1552" w:type="dxa"/>
          </w:tcPr>
          <w:p>
            <w:pPr>
              <w:pStyle w:val="0"/>
              <w:jc w:val="center"/>
            </w:pPr>
            <w:r>
              <w:rPr>
                <w:sz w:val="20"/>
              </w:rPr>
              <w:t xml:space="preserve">8</w:t>
            </w:r>
          </w:p>
        </w:tc>
        <w:tc>
          <w:tcPr>
            <w:vMerge w:val="continue"/>
          </w:tcPr>
          <w:p/>
        </w:tc>
      </w:tr>
      <w:tr>
        <w:tc>
          <w:tcPr>
            <w:tcW w:w="460" w:type="dxa"/>
          </w:tcPr>
          <w:p>
            <w:pPr>
              <w:pStyle w:val="0"/>
            </w:pPr>
            <w:r>
              <w:rPr>
                <w:sz w:val="20"/>
              </w:rPr>
              <w:t xml:space="preserve">4.3</w:t>
            </w:r>
          </w:p>
        </w:tc>
        <w:tc>
          <w:tcPr>
            <w:tcW w:w="5726" w:type="dxa"/>
          </w:tcPr>
          <w:p>
            <w:pPr>
              <w:pStyle w:val="0"/>
              <w:ind w:firstLine="283"/>
              <w:jc w:val="both"/>
            </w:pPr>
            <w:r>
              <w:rPr>
                <w:sz w:val="20"/>
              </w:rPr>
              <w:t xml:space="preserve">Данный критерий удовлетворительно выражен в заявке:</w:t>
            </w:r>
          </w:p>
          <w:p>
            <w:pPr>
              <w:pStyle w:val="0"/>
              <w:ind w:firstLine="283"/>
              <w:jc w:val="both"/>
            </w:pPr>
            <w:r>
              <w:rPr>
                <w:sz w:val="20"/>
              </w:rPr>
              <w:t xml:space="preserve">- в заявке изложены ожидаемые результаты проекта, но они не полностью соответствуют критериям адекватности, измеримости, достижимости;</w:t>
            </w:r>
          </w:p>
          <w:p>
            <w:pPr>
              <w:pStyle w:val="0"/>
              <w:ind w:firstLine="283"/>
              <w:jc w:val="both"/>
            </w:pPr>
            <w:r>
              <w:rPr>
                <w:sz w:val="20"/>
              </w:rPr>
              <w:t xml:space="preserve">- запланированные результаты могут быть достигнуты при меньших затратах;</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460" w:type="dxa"/>
          </w:tcPr>
          <w:p>
            <w:pPr>
              <w:pStyle w:val="0"/>
            </w:pPr>
            <w:r>
              <w:rPr>
                <w:sz w:val="20"/>
              </w:rPr>
              <w:t xml:space="preserve">4.4</w:t>
            </w:r>
          </w:p>
        </w:tc>
        <w:tc>
          <w:tcPr>
            <w:tcW w:w="5726" w:type="dxa"/>
          </w:tcPr>
          <w:p>
            <w:pPr>
              <w:pStyle w:val="0"/>
              <w:ind w:firstLine="283"/>
              <w:jc w:val="both"/>
            </w:pPr>
            <w:r>
              <w:rPr>
                <w:sz w:val="20"/>
              </w:rPr>
              <w:t xml:space="preserve">Данный критерий плохо выражен в заявке:</w:t>
            </w:r>
          </w:p>
          <w:p>
            <w:pPr>
              <w:pStyle w:val="0"/>
              <w:ind w:firstLine="283"/>
              <w:jc w:val="both"/>
            </w:pPr>
            <w:r>
              <w:rPr>
                <w:sz w:val="20"/>
              </w:rPr>
              <w:t xml:space="preserve">- ожидаемые результаты проекта изложены неконкретно;</w:t>
            </w:r>
          </w:p>
          <w:p>
            <w:pPr>
              <w:pStyle w:val="0"/>
              <w:ind w:firstLine="283"/>
              <w:jc w:val="both"/>
            </w:pPr>
            <w:r>
              <w:rPr>
                <w:sz w:val="20"/>
              </w:rPr>
              <w:t xml:space="preserve">- предполагаемые затраты на достижение результатов проекта явно завышены;</w:t>
            </w:r>
          </w:p>
          <w:p>
            <w:pPr>
              <w:pStyle w:val="0"/>
              <w:ind w:firstLine="283"/>
              <w:jc w:val="both"/>
            </w:pPr>
            <w:r>
              <w:rPr>
                <w:sz w:val="20"/>
              </w:rPr>
              <w:t xml:space="preserve">- описанная в заявке деятельность является по сути предпринимательской;</w:t>
            </w:r>
          </w:p>
          <w:p>
            <w:pPr>
              <w:pStyle w:val="0"/>
              <w:ind w:firstLine="283"/>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460" w:type="dxa"/>
          </w:tcPr>
          <w:p>
            <w:pPr>
              <w:pStyle w:val="0"/>
              <w:outlineLvl w:val="2"/>
            </w:pPr>
            <w:r>
              <w:rPr>
                <w:sz w:val="20"/>
              </w:rPr>
              <w:t xml:space="preserve">5</w:t>
            </w:r>
          </w:p>
        </w:tc>
        <w:tc>
          <w:tcPr>
            <w:tcW w:w="5726" w:type="dxa"/>
          </w:tcPr>
          <w:p>
            <w:pPr>
              <w:pStyle w:val="0"/>
              <w:ind w:firstLine="283"/>
              <w:jc w:val="both"/>
            </w:pPr>
            <w:r>
              <w:rPr>
                <w:sz w:val="20"/>
              </w:rPr>
              <w:t xml:space="preserve">Реалистичность бюджета проекта и обоснованность планируемых расходов на реализацию проекта</w:t>
            </w:r>
          </w:p>
        </w:tc>
        <w:tc>
          <w:tcPr>
            <w:tcW w:w="1552" w:type="dxa"/>
          </w:tcPr>
          <w:p>
            <w:pPr>
              <w:pStyle w:val="0"/>
              <w:jc w:val="center"/>
            </w:pPr>
            <w:r>
              <w:rPr>
                <w:sz w:val="20"/>
              </w:rPr>
            </w:r>
          </w:p>
        </w:tc>
        <w:tc>
          <w:tcPr>
            <w:tcW w:w="1304" w:type="dxa"/>
          </w:tcPr>
          <w:p>
            <w:pPr>
              <w:pStyle w:val="0"/>
              <w:jc w:val="center"/>
            </w:pPr>
            <w:r>
              <w:rPr>
                <w:sz w:val="20"/>
              </w:rPr>
            </w:r>
          </w:p>
        </w:tc>
      </w:tr>
      <w:tr>
        <w:tc>
          <w:tcPr>
            <w:tcW w:w="460" w:type="dxa"/>
          </w:tcPr>
          <w:p>
            <w:pPr>
              <w:pStyle w:val="0"/>
            </w:pPr>
            <w:r>
              <w:rPr>
                <w:sz w:val="20"/>
              </w:rPr>
              <w:t xml:space="preserve">5.1</w:t>
            </w:r>
          </w:p>
        </w:tc>
        <w:tc>
          <w:tcPr>
            <w:tcW w:w="5726" w:type="dxa"/>
          </w:tcPr>
          <w:p>
            <w:pPr>
              <w:pStyle w:val="0"/>
              <w:ind w:firstLine="283"/>
              <w:jc w:val="both"/>
            </w:pPr>
            <w:r>
              <w:rPr>
                <w:sz w:val="20"/>
              </w:rPr>
              <w:t xml:space="preserve">Проект полностью соответствует данному критерию:</w:t>
            </w:r>
          </w:p>
          <w:p>
            <w:pPr>
              <w:pStyle w:val="0"/>
              <w:ind w:firstLine="283"/>
              <w:jc w:val="both"/>
            </w:pPr>
            <w:r>
              <w:rPr>
                <w:sz w:val="20"/>
              </w:rPr>
              <w:t xml:space="preserve">- в бюджете проекта предусмотрено финансовое обеспечение всех мероприятий проекта и отсутствуют расходы, которые непосредственно не связаны с мероприятиями проекта;</w:t>
            </w:r>
          </w:p>
          <w:p>
            <w:pPr>
              <w:pStyle w:val="0"/>
              <w:ind w:firstLine="283"/>
              <w:jc w:val="both"/>
            </w:pPr>
            <w:r>
              <w:rPr>
                <w:sz w:val="20"/>
              </w:rPr>
              <w:t xml:space="preserve">- все планируемые расходы реалистичны и обоснованны;</w:t>
            </w:r>
          </w:p>
          <w:p>
            <w:pPr>
              <w:pStyle w:val="0"/>
              <w:ind w:firstLine="283"/>
              <w:jc w:val="both"/>
            </w:pPr>
            <w:r>
              <w:rPr>
                <w:sz w:val="20"/>
              </w:rPr>
              <w:t xml:space="preserve">- даны корректные комментарии по всем предполагаемым расходам за счет грантов, позволяющие четко определить состав (детализацию) расходов</w:t>
            </w:r>
          </w:p>
        </w:tc>
        <w:tc>
          <w:tcPr>
            <w:tcW w:w="1552" w:type="dxa"/>
          </w:tcPr>
          <w:p>
            <w:pPr>
              <w:pStyle w:val="0"/>
              <w:jc w:val="center"/>
            </w:pPr>
            <w:r>
              <w:rPr>
                <w:sz w:val="20"/>
              </w:rPr>
              <w:t xml:space="preserve">10</w:t>
            </w:r>
          </w:p>
        </w:tc>
        <w:tc>
          <w:tcPr>
            <w:tcW w:w="1304" w:type="dxa"/>
            <w:vMerge w:val="restart"/>
          </w:tcPr>
          <w:p>
            <w:pPr>
              <w:pStyle w:val="0"/>
              <w:jc w:val="center"/>
            </w:pPr>
            <w:r>
              <w:rPr>
                <w:sz w:val="20"/>
              </w:rPr>
              <w:t xml:space="preserve">9%</w:t>
            </w:r>
          </w:p>
        </w:tc>
      </w:tr>
      <w:tr>
        <w:tc>
          <w:tcPr>
            <w:tcW w:w="460" w:type="dxa"/>
          </w:tcPr>
          <w:p>
            <w:pPr>
              <w:pStyle w:val="0"/>
            </w:pPr>
            <w:r>
              <w:rPr>
                <w:sz w:val="20"/>
              </w:rPr>
              <w:t xml:space="preserve">5.2</w:t>
            </w:r>
          </w:p>
        </w:tc>
        <w:tc>
          <w:tcPr>
            <w:tcW w:w="5726" w:type="dxa"/>
          </w:tcPr>
          <w:p>
            <w:pPr>
              <w:pStyle w:val="0"/>
              <w:ind w:firstLine="283"/>
              <w:jc w:val="both"/>
            </w:pPr>
            <w:r>
              <w:rPr>
                <w:sz w:val="20"/>
              </w:rPr>
              <w:t xml:space="preserve">Проект в целом соответствует данному критерию, однако имеются несущественные замечания эксперта:</w:t>
            </w:r>
          </w:p>
          <w:p>
            <w:pPr>
              <w:pStyle w:val="0"/>
              <w:ind w:firstLine="283"/>
              <w:jc w:val="both"/>
            </w:pPr>
            <w:r>
              <w:rPr>
                <w:sz w:val="20"/>
              </w:rPr>
              <w:t xml:space="preserve">- все планируемые расходы реалистичны, следуют из задач, мероприятий и обоснованны, вместе с тем из комментариев к некоторым расходам невозможно точно определить их состав (детализацию);</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460" w:type="dxa"/>
          </w:tcPr>
          <w:p>
            <w:pPr>
              <w:pStyle w:val="0"/>
            </w:pPr>
            <w:r>
              <w:rPr>
                <w:sz w:val="20"/>
              </w:rPr>
              <w:t xml:space="preserve">5.3</w:t>
            </w:r>
          </w:p>
        </w:tc>
        <w:tc>
          <w:tcPr>
            <w:tcW w:w="5726" w:type="dxa"/>
          </w:tcPr>
          <w:p>
            <w:pPr>
              <w:pStyle w:val="0"/>
              <w:ind w:firstLine="283"/>
              <w:jc w:val="both"/>
            </w:pPr>
            <w:r>
              <w:rPr>
                <w:sz w:val="20"/>
              </w:rPr>
              <w:t xml:space="preserve">Проект в целом соответствует данному критерию, однако имеются замечания эксперта, которые обязательно необходимо устранить:</w:t>
            </w:r>
          </w:p>
          <w:p>
            <w:pPr>
              <w:pStyle w:val="0"/>
              <w:ind w:firstLine="283"/>
              <w:jc w:val="both"/>
            </w:pPr>
            <w:r>
              <w:rPr>
                <w:sz w:val="20"/>
              </w:rPr>
              <w:t xml:space="preserve">- не все предполагаемые расходы непосредственно связаны с мероприятиями проекта и достижением ожидаемых результатов;</w:t>
            </w:r>
          </w:p>
          <w:p>
            <w:pPr>
              <w:pStyle w:val="0"/>
              <w:ind w:firstLine="283"/>
              <w:jc w:val="both"/>
            </w:pPr>
            <w:r>
              <w:rPr>
                <w:sz w:val="20"/>
              </w:rPr>
              <w:t xml:space="preserve">- в бюджете проекта предусмотрены побочные, не имеющие прямого отношения к реализации проекта расходы;</w:t>
            </w:r>
          </w:p>
          <w:p>
            <w:pPr>
              <w:pStyle w:val="0"/>
              <w:ind w:firstLine="283"/>
              <w:jc w:val="both"/>
            </w:pPr>
            <w:r>
              <w:rPr>
                <w:sz w:val="20"/>
              </w:rPr>
              <w:t xml:space="preserve">- некоторые расходы завышены или занижены по сравнению со средним рыночным уровнем оплаты труда, цен на товары, работы, услуги, аренду (без соответствующего обоснования в комментариях к расходам);</w:t>
            </w:r>
          </w:p>
          <w:p>
            <w:pPr>
              <w:pStyle w:val="0"/>
              <w:ind w:firstLine="283"/>
              <w:jc w:val="both"/>
            </w:pPr>
            <w:r>
              <w:rPr>
                <w:sz w:val="20"/>
              </w:rPr>
              <w:t xml:space="preserve">- обоснование некоторых запланированных расходов не позволяет оценить их взаимосвязь с мероприятиями проекта;</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460" w:type="dxa"/>
          </w:tcPr>
          <w:p>
            <w:pPr>
              <w:pStyle w:val="0"/>
            </w:pPr>
            <w:r>
              <w:rPr>
                <w:sz w:val="20"/>
              </w:rPr>
              <w:t xml:space="preserve">5.4</w:t>
            </w:r>
          </w:p>
        </w:tc>
        <w:tc>
          <w:tcPr>
            <w:tcW w:w="5726" w:type="dxa"/>
          </w:tcPr>
          <w:p>
            <w:pPr>
              <w:pStyle w:val="0"/>
              <w:ind w:firstLine="283"/>
              <w:jc w:val="both"/>
            </w:pPr>
            <w:r>
              <w:rPr>
                <w:sz w:val="20"/>
              </w:rPr>
              <w:t xml:space="preserve">Проект не соответствует данному критерию:</w:t>
            </w:r>
          </w:p>
          <w:p>
            <w:pPr>
              <w:pStyle w:val="0"/>
              <w:ind w:firstLine="283"/>
              <w:jc w:val="both"/>
            </w:pPr>
            <w:r>
              <w:rPr>
                <w:sz w:val="20"/>
              </w:rPr>
              <w:t xml:space="preserve">- предполагаемые затраты на реализацию проекта явно завышены либо занижены и (или) не соответствуют мероприятиям проекта, условиям конкурса;</w:t>
            </w:r>
          </w:p>
          <w:p>
            <w:pPr>
              <w:pStyle w:val="0"/>
              <w:ind w:firstLine="283"/>
              <w:jc w:val="both"/>
            </w:pPr>
            <w:r>
              <w:rPr>
                <w:sz w:val="20"/>
              </w:rPr>
              <w:t xml:space="preserve">- бюджет проекта нереалистичен, не соответствует тексту заявки;</w:t>
            </w:r>
          </w:p>
          <w:p>
            <w:pPr>
              <w:pStyle w:val="0"/>
              <w:ind w:firstLine="283"/>
              <w:jc w:val="both"/>
            </w:pPr>
            <w:r>
              <w:rPr>
                <w:sz w:val="20"/>
              </w:rPr>
              <w:t xml:space="preserve">- бюджет проекта не соответствует целевому характеру грантов, часть расходов не направлена на выполнение мероприятий проекта либо вообще не имеет отношения к реализации проекта;</w:t>
            </w:r>
          </w:p>
          <w:p>
            <w:pPr>
              <w:pStyle w:val="0"/>
              <w:ind w:firstLine="283"/>
              <w:jc w:val="both"/>
            </w:pPr>
            <w:r>
              <w:rPr>
                <w:sz w:val="20"/>
              </w:rPr>
              <w:t xml:space="preserve">- имеются несоответствия между суммами в описании проекта и в его бюджете;</w:t>
            </w:r>
          </w:p>
          <w:p>
            <w:pPr>
              <w:pStyle w:val="0"/>
              <w:ind w:firstLine="283"/>
              <w:jc w:val="both"/>
            </w:pPr>
            <w:r>
              <w:rPr>
                <w:sz w:val="20"/>
              </w:rPr>
              <w:t xml:space="preserve">- комментарии к запланированным расходам неполные, некорректные, нелогичные;</w:t>
            </w:r>
          </w:p>
          <w:p>
            <w:pPr>
              <w:pStyle w:val="0"/>
              <w:ind w:firstLine="283"/>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460" w:type="dxa"/>
          </w:tcPr>
          <w:p>
            <w:pPr>
              <w:pStyle w:val="0"/>
              <w:outlineLvl w:val="2"/>
            </w:pPr>
            <w:r>
              <w:rPr>
                <w:sz w:val="20"/>
              </w:rPr>
              <w:t xml:space="preserve">6</w:t>
            </w:r>
          </w:p>
        </w:tc>
        <w:tc>
          <w:tcPr>
            <w:tcW w:w="5726" w:type="dxa"/>
          </w:tcPr>
          <w:p>
            <w:pPr>
              <w:pStyle w:val="0"/>
              <w:ind w:firstLine="283"/>
              <w:jc w:val="both"/>
            </w:pPr>
            <w:r>
              <w:rPr>
                <w:sz w:val="20"/>
              </w:rPr>
              <w:t xml:space="preserve">Масштаб реализации проекта</w:t>
            </w:r>
          </w:p>
        </w:tc>
        <w:tc>
          <w:tcPr>
            <w:tcW w:w="1552" w:type="dxa"/>
          </w:tcPr>
          <w:p>
            <w:pPr>
              <w:pStyle w:val="0"/>
              <w:jc w:val="center"/>
            </w:pPr>
            <w:r>
              <w:rPr>
                <w:sz w:val="20"/>
              </w:rPr>
            </w:r>
          </w:p>
        </w:tc>
        <w:tc>
          <w:tcPr>
            <w:tcW w:w="1304" w:type="dxa"/>
          </w:tcPr>
          <w:p>
            <w:pPr>
              <w:pStyle w:val="0"/>
              <w:jc w:val="center"/>
            </w:pPr>
            <w:r>
              <w:rPr>
                <w:sz w:val="20"/>
              </w:rPr>
            </w:r>
          </w:p>
        </w:tc>
      </w:tr>
      <w:tr>
        <w:tc>
          <w:tcPr>
            <w:tcW w:w="460" w:type="dxa"/>
          </w:tcPr>
          <w:p>
            <w:pPr>
              <w:pStyle w:val="0"/>
            </w:pPr>
            <w:r>
              <w:rPr>
                <w:sz w:val="20"/>
              </w:rPr>
              <w:t xml:space="preserve">6.1</w:t>
            </w:r>
          </w:p>
        </w:tc>
        <w:tc>
          <w:tcPr>
            <w:tcW w:w="5726" w:type="dxa"/>
          </w:tcPr>
          <w:p>
            <w:pPr>
              <w:pStyle w:val="0"/>
              <w:ind w:firstLine="283"/>
              <w:jc w:val="both"/>
            </w:pPr>
            <w:r>
              <w:rPr>
                <w:sz w:val="20"/>
              </w:rPr>
              <w:t xml:space="preserve">Проект по данному критерию проработан отлично:</w:t>
            </w:r>
          </w:p>
          <w:p>
            <w:pPr>
              <w:pStyle w:val="0"/>
              <w:ind w:firstLine="283"/>
              <w:jc w:val="both"/>
            </w:pPr>
            <w:r>
              <w:rPr>
                <w:sz w:val="20"/>
              </w:rPr>
              <w:t xml:space="preserve">- заявленный территориальный охват проекта оправдан, использует реальные возможности организации и адекватен тем проблемам, на решение которых направлен проект;</w:t>
            </w:r>
          </w:p>
          <w:p>
            <w:pPr>
              <w:pStyle w:val="0"/>
              <w:ind w:firstLine="283"/>
              <w:jc w:val="both"/>
            </w:pPr>
            <w:r>
              <w:rPr>
                <w:sz w:val="20"/>
              </w:rPr>
              <w:t xml:space="preserve">- в проекте предусмотрена деятельность в пределах территории его реализации, самостоятельно или с активным вовлечением партнеров</w:t>
            </w:r>
          </w:p>
        </w:tc>
        <w:tc>
          <w:tcPr>
            <w:tcW w:w="1552" w:type="dxa"/>
          </w:tcPr>
          <w:p>
            <w:pPr>
              <w:pStyle w:val="0"/>
              <w:jc w:val="center"/>
            </w:pPr>
            <w:r>
              <w:rPr>
                <w:sz w:val="20"/>
              </w:rPr>
              <w:t xml:space="preserve">10</w:t>
            </w:r>
          </w:p>
        </w:tc>
        <w:tc>
          <w:tcPr>
            <w:tcW w:w="1304" w:type="dxa"/>
            <w:vMerge w:val="restart"/>
          </w:tcPr>
          <w:p>
            <w:pPr>
              <w:pStyle w:val="0"/>
              <w:jc w:val="center"/>
            </w:pPr>
            <w:r>
              <w:rPr>
                <w:sz w:val="20"/>
              </w:rPr>
              <w:t xml:space="preserve">7%</w:t>
            </w:r>
          </w:p>
        </w:tc>
      </w:tr>
      <w:tr>
        <w:tc>
          <w:tcPr>
            <w:tcW w:w="460" w:type="dxa"/>
          </w:tcPr>
          <w:p>
            <w:pPr>
              <w:pStyle w:val="0"/>
            </w:pPr>
            <w:r>
              <w:rPr>
                <w:sz w:val="20"/>
              </w:rPr>
              <w:t xml:space="preserve">6.2</w:t>
            </w:r>
          </w:p>
        </w:tc>
        <w:tc>
          <w:tcPr>
            <w:tcW w:w="5726" w:type="dxa"/>
          </w:tcPr>
          <w:p>
            <w:pPr>
              <w:pStyle w:val="0"/>
              <w:ind w:firstLine="283"/>
              <w:jc w:val="both"/>
            </w:pPr>
            <w:r>
              <w:rPr>
                <w:sz w:val="20"/>
              </w:rPr>
              <w:t xml:space="preserve">Проект по данному критерию проработан хорошо:</w:t>
            </w:r>
          </w:p>
          <w:p>
            <w:pPr>
              <w:pStyle w:val="0"/>
              <w:ind w:firstLine="283"/>
              <w:jc w:val="both"/>
            </w:pPr>
            <w:r>
              <w:rPr>
                <w:sz w:val="20"/>
              </w:rPr>
              <w:t xml:space="preserve">- имеется частичное (несущественное) расхождение между заявленной территорией реализации проекта и календарным планом, обеспечение такого территориального охвата может вызвать затруднения в сроки, установленные календарным планом;</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460" w:type="dxa"/>
          </w:tcPr>
          <w:p>
            <w:pPr>
              <w:pStyle w:val="0"/>
            </w:pPr>
            <w:r>
              <w:rPr>
                <w:sz w:val="20"/>
              </w:rPr>
              <w:t xml:space="preserve">6.3</w:t>
            </w:r>
          </w:p>
        </w:tc>
        <w:tc>
          <w:tcPr>
            <w:tcW w:w="5726" w:type="dxa"/>
          </w:tcPr>
          <w:p>
            <w:pPr>
              <w:pStyle w:val="0"/>
              <w:ind w:firstLine="283"/>
              <w:jc w:val="both"/>
            </w:pPr>
            <w:r>
              <w:rPr>
                <w:sz w:val="20"/>
              </w:rPr>
              <w:t xml:space="preserve">Проект по данному критерию проработан удовлетворительно:</w:t>
            </w:r>
          </w:p>
          <w:p>
            <w:pPr>
              <w:pStyle w:val="0"/>
              <w:ind w:firstLine="283"/>
              <w:jc w:val="both"/>
            </w:pPr>
            <w:r>
              <w:rPr>
                <w:sz w:val="20"/>
              </w:rPr>
              <w:t xml:space="preserve">- в качестве территории реализации проекта заявлена потенциальная аудитория интернет-ресурса, который планируется создать или развивать в рамках реализации проекта;</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460" w:type="dxa"/>
          </w:tcPr>
          <w:p>
            <w:pPr>
              <w:pStyle w:val="0"/>
            </w:pPr>
            <w:r>
              <w:rPr>
                <w:sz w:val="20"/>
              </w:rPr>
              <w:t xml:space="preserve">6.4</w:t>
            </w:r>
          </w:p>
        </w:tc>
        <w:tc>
          <w:tcPr>
            <w:tcW w:w="5726" w:type="dxa"/>
          </w:tcPr>
          <w:p>
            <w:pPr>
              <w:pStyle w:val="0"/>
              <w:ind w:firstLine="283"/>
              <w:jc w:val="both"/>
            </w:pPr>
            <w:r>
              <w:rPr>
                <w:sz w:val="20"/>
              </w:rPr>
              <w:t xml:space="preserve">Проект по данному критерию проработан плохо:</w:t>
            </w:r>
          </w:p>
          <w:p>
            <w:pPr>
              <w:pStyle w:val="0"/>
              <w:ind w:firstLine="283"/>
              <w:jc w:val="both"/>
            </w:pPr>
            <w:r>
              <w:rPr>
                <w:sz w:val="20"/>
              </w:rPr>
              <w:t xml:space="preserve">- заявленная территория реализации проекта не подтверждается содержанием заявки;</w:t>
            </w:r>
          </w:p>
          <w:p>
            <w:pPr>
              <w:pStyle w:val="0"/>
              <w:ind w:firstLine="283"/>
              <w:jc w:val="both"/>
            </w:pPr>
            <w:r>
              <w:rPr>
                <w:sz w:val="20"/>
              </w:rPr>
              <w:t xml:space="preserve">- не доказано взаимодействие с территориями, обозначенными в заявке;</w:t>
            </w:r>
          </w:p>
          <w:p>
            <w:pPr>
              <w:pStyle w:val="0"/>
              <w:ind w:firstLine="283"/>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460" w:type="dxa"/>
          </w:tcPr>
          <w:p>
            <w:pPr>
              <w:pStyle w:val="0"/>
              <w:outlineLvl w:val="2"/>
            </w:pPr>
            <w:r>
              <w:rPr>
                <w:sz w:val="20"/>
              </w:rPr>
              <w:t xml:space="preserve">7</w:t>
            </w:r>
          </w:p>
        </w:tc>
        <w:tc>
          <w:tcPr>
            <w:tcW w:w="5726" w:type="dxa"/>
          </w:tcPr>
          <w:p>
            <w:pPr>
              <w:pStyle w:val="0"/>
              <w:ind w:firstLine="283"/>
              <w:jc w:val="both"/>
            </w:pPr>
            <w:r>
              <w:rPr>
                <w:sz w:val="20"/>
              </w:rPr>
              <w:t xml:space="preserve">Опыт организации по успешной реализации программ, проектов по соответствующему направлению деятельности</w:t>
            </w:r>
          </w:p>
        </w:tc>
        <w:tc>
          <w:tcPr>
            <w:tcW w:w="1552" w:type="dxa"/>
          </w:tcPr>
          <w:p>
            <w:pPr>
              <w:pStyle w:val="0"/>
              <w:jc w:val="center"/>
            </w:pPr>
            <w:r>
              <w:rPr>
                <w:sz w:val="20"/>
              </w:rPr>
            </w:r>
          </w:p>
        </w:tc>
        <w:tc>
          <w:tcPr>
            <w:tcW w:w="1304" w:type="dxa"/>
          </w:tcPr>
          <w:p>
            <w:pPr>
              <w:pStyle w:val="0"/>
              <w:jc w:val="center"/>
            </w:pPr>
            <w:r>
              <w:rPr>
                <w:sz w:val="20"/>
              </w:rPr>
            </w:r>
          </w:p>
        </w:tc>
      </w:tr>
      <w:tr>
        <w:tc>
          <w:tcPr>
            <w:tcW w:w="460" w:type="dxa"/>
          </w:tcPr>
          <w:p>
            <w:pPr>
              <w:pStyle w:val="0"/>
            </w:pPr>
            <w:r>
              <w:rPr>
                <w:sz w:val="20"/>
              </w:rPr>
              <w:t xml:space="preserve">7.1</w:t>
            </w:r>
          </w:p>
        </w:tc>
        <w:tc>
          <w:tcPr>
            <w:tcW w:w="5726" w:type="dxa"/>
          </w:tcPr>
          <w:p>
            <w:pPr>
              <w:pStyle w:val="0"/>
              <w:ind w:firstLine="283"/>
              <w:jc w:val="both"/>
            </w:pPr>
            <w:r>
              <w:rPr>
                <w:sz w:val="20"/>
              </w:rPr>
              <w:t xml:space="preserve">У организации отличный опыт проектной работы по выбранному грантовому направлению:</w:t>
            </w:r>
          </w:p>
          <w:p>
            <w:pPr>
              <w:pStyle w:val="0"/>
              <w:ind w:firstLine="283"/>
              <w:jc w:val="both"/>
            </w:pPr>
            <w:r>
              <w:rPr>
                <w:sz w:val="20"/>
              </w:rPr>
              <w:t xml:space="preserve">- организация имеет опыт устойчивой активной деятельности по выбранному грантовому направлению на протяжении более 5 лет;</w:t>
            </w:r>
          </w:p>
          <w:p>
            <w:pPr>
              <w:pStyle w:val="0"/>
              <w:ind w:firstLine="283"/>
              <w:jc w:val="both"/>
            </w:pPr>
            <w:r>
              <w:rPr>
                <w:sz w:val="20"/>
              </w:rPr>
              <w:t xml:space="preserve">- в заявке представлено описание собственного опыта организации с указанием конкретных программ, проектов или мероприятий; имеются сведения о результативности данных мероприятий; опыт деятельности и ее успешность подтверждаются наградами, отзывами, публикациями в средствах массовой информации и Интернете;</w:t>
            </w:r>
          </w:p>
          <w:p>
            <w:pPr>
              <w:pStyle w:val="0"/>
              <w:ind w:firstLine="283"/>
              <w:jc w:val="both"/>
            </w:pPr>
            <w:r>
              <w:rPr>
                <w:sz w:val="20"/>
              </w:rPr>
              <w:t xml:space="preserve">- организация получала целевые поступления на реализацию своих программ, проектов, информация о претензиях по поводу их использования отсутствует;</w:t>
            </w:r>
          </w:p>
          <w:p>
            <w:pPr>
              <w:pStyle w:val="0"/>
              <w:ind w:firstLine="283"/>
              <w:jc w:val="both"/>
            </w:pPr>
            <w:r>
              <w:rPr>
                <w:sz w:val="20"/>
              </w:rPr>
              <w:t xml:space="preserve">- у организации имеется сопоставимый с содержанием заявки опыт проектной деятельности (по масштабу и количеству мероприятий);</w:t>
            </w:r>
          </w:p>
          <w:p>
            <w:pPr>
              <w:pStyle w:val="0"/>
              <w:ind w:firstLine="283"/>
              <w:jc w:val="both"/>
            </w:pPr>
            <w:r>
              <w:rPr>
                <w:sz w:val="20"/>
              </w:rPr>
              <w:t xml:space="preserve">- у организации есть материально-техническая база для реализации проектов по выбранному грантовому направлению, имеются (если применимо) лицензии, иные разрешительные документы, обязательные для осуществления запланированной деятельности</w:t>
            </w:r>
          </w:p>
        </w:tc>
        <w:tc>
          <w:tcPr>
            <w:tcW w:w="1552" w:type="dxa"/>
          </w:tcPr>
          <w:p>
            <w:pPr>
              <w:pStyle w:val="0"/>
              <w:jc w:val="center"/>
            </w:pPr>
            <w:r>
              <w:rPr>
                <w:sz w:val="20"/>
              </w:rPr>
              <w:t xml:space="preserve">10</w:t>
            </w:r>
          </w:p>
        </w:tc>
        <w:tc>
          <w:tcPr>
            <w:tcW w:w="1304" w:type="dxa"/>
            <w:vMerge w:val="restart"/>
          </w:tcPr>
          <w:p>
            <w:pPr>
              <w:pStyle w:val="0"/>
              <w:jc w:val="center"/>
            </w:pPr>
            <w:r>
              <w:rPr>
                <w:sz w:val="20"/>
              </w:rPr>
              <w:t xml:space="preserve">6%</w:t>
            </w:r>
          </w:p>
        </w:tc>
      </w:tr>
      <w:tr>
        <w:tc>
          <w:tcPr>
            <w:tcW w:w="460" w:type="dxa"/>
          </w:tcPr>
          <w:p>
            <w:pPr>
              <w:pStyle w:val="0"/>
            </w:pPr>
            <w:r>
              <w:rPr>
                <w:sz w:val="20"/>
              </w:rPr>
              <w:t xml:space="preserve">7.2</w:t>
            </w:r>
          </w:p>
        </w:tc>
        <w:tc>
          <w:tcPr>
            <w:tcW w:w="5726" w:type="dxa"/>
          </w:tcPr>
          <w:p>
            <w:pPr>
              <w:pStyle w:val="0"/>
              <w:ind w:firstLine="283"/>
              <w:jc w:val="both"/>
            </w:pPr>
            <w:r>
              <w:rPr>
                <w:sz w:val="20"/>
              </w:rPr>
              <w:t xml:space="preserve">У организации хороший опыт проектной работы по выбранному грантовому направлению:</w:t>
            </w:r>
          </w:p>
          <w:p>
            <w:pPr>
              <w:pStyle w:val="0"/>
              <w:ind w:firstLine="283"/>
              <w:jc w:val="both"/>
            </w:pPr>
            <w:r>
              <w:rPr>
                <w:sz w:val="20"/>
              </w:rPr>
              <w:t xml:space="preserve">- у организации имеется сопоставимый с содержанием заявки опыт системной и устойчивой проектной деятельности по выбранному грантовому направлению (по масштабу и количеству мероприятий);</w:t>
            </w:r>
          </w:p>
          <w:p>
            <w:pPr>
              <w:pStyle w:val="0"/>
              <w:ind w:firstLine="283"/>
              <w:jc w:val="both"/>
            </w:pPr>
            <w:r>
              <w:rPr>
                <w:sz w:val="20"/>
              </w:rPr>
              <w:t xml:space="preserve">- в заявке представлено описание собственного опыта организации с указанием конкретных программ, проектов или мероприятий; успешность опыта организации подтверждается наградами, отзывами, публикациями в средствах массовой информации и Интернете;</w:t>
            </w:r>
          </w:p>
          <w:p>
            <w:pPr>
              <w:pStyle w:val="0"/>
              <w:ind w:firstLine="283"/>
              <w:jc w:val="both"/>
            </w:pPr>
            <w:r>
              <w:rPr>
                <w:sz w:val="20"/>
              </w:rPr>
              <w:t xml:space="preserve">- организация имеет опыт активной деятельности на протяжении более 3 лет либо имеет опыт работы менее 3 лет, но создана гражданами, имеющими значительный опыт аналогичной деятельности</w:t>
            </w:r>
          </w:p>
        </w:tc>
        <w:tc>
          <w:tcPr>
            <w:tcW w:w="1552" w:type="dxa"/>
          </w:tcPr>
          <w:p>
            <w:pPr>
              <w:pStyle w:val="0"/>
              <w:jc w:val="center"/>
            </w:pPr>
            <w:r>
              <w:rPr>
                <w:sz w:val="20"/>
              </w:rPr>
              <w:t xml:space="preserve">8</w:t>
            </w:r>
          </w:p>
        </w:tc>
        <w:tc>
          <w:tcPr>
            <w:vMerge w:val="continue"/>
          </w:tcPr>
          <w:p/>
        </w:tc>
      </w:tr>
      <w:tr>
        <w:tc>
          <w:tcPr>
            <w:tcW w:w="460" w:type="dxa"/>
          </w:tcPr>
          <w:p>
            <w:pPr>
              <w:pStyle w:val="0"/>
            </w:pPr>
            <w:r>
              <w:rPr>
                <w:sz w:val="20"/>
              </w:rPr>
              <w:t xml:space="preserve">7.3</w:t>
            </w:r>
          </w:p>
        </w:tc>
        <w:tc>
          <w:tcPr>
            <w:tcW w:w="5726" w:type="dxa"/>
          </w:tcPr>
          <w:p>
            <w:pPr>
              <w:pStyle w:val="0"/>
              <w:ind w:firstLine="283"/>
              <w:jc w:val="both"/>
            </w:pPr>
            <w:r>
              <w:rPr>
                <w:sz w:val="20"/>
              </w:rPr>
              <w:t xml:space="preserve">У организации удовлетворительный опыт проектной работы по выбранному грантовому направлению:</w:t>
            </w:r>
          </w:p>
          <w:p>
            <w:pPr>
              <w:pStyle w:val="0"/>
              <w:ind w:firstLine="283"/>
              <w:jc w:val="both"/>
            </w:pPr>
            <w:r>
              <w:rPr>
                <w:sz w:val="20"/>
              </w:rPr>
              <w:t xml:space="preserve">- в заявке приведено описание собственного опыта организации по реализации программ, проектов по выбранному грантовому направлению, но оно не позволяет сделать однозначный вывод о системном и устойчивом характере такой работы в течение 3 лет или с момента создания организации (если она существует меньше 3 лет) и наличии положительных результатов;</w:t>
            </w:r>
          </w:p>
          <w:p>
            <w:pPr>
              <w:pStyle w:val="0"/>
              <w:ind w:firstLine="283"/>
              <w:jc w:val="both"/>
            </w:pPr>
            <w:r>
              <w:rPr>
                <w:sz w:val="20"/>
              </w:rPr>
              <w:t xml:space="preserve">- организация имеет опыт реализации менее масштабных проектов по выбранному грантовому направлению и не имеет опыта работы с соизмеримыми (с запрашиваемой суммой грантов) объемами целевых средств;</w:t>
            </w:r>
          </w:p>
          <w:p>
            <w:pPr>
              <w:pStyle w:val="0"/>
              <w:ind w:firstLine="283"/>
              <w:jc w:val="both"/>
            </w:pPr>
            <w:r>
              <w:rPr>
                <w:sz w:val="20"/>
              </w:rPr>
              <w:t xml:space="preserve">- организация имеет опыт управления соизмеримыми (с запрашиваемой суммой грантов) объемами целевых средств, однако информация о реализованных проектах не освещена на сайте организации, заявленные достигнутые результаты не представлены;</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460" w:type="dxa"/>
          </w:tcPr>
          <w:p>
            <w:pPr>
              <w:pStyle w:val="0"/>
            </w:pPr>
            <w:r>
              <w:rPr>
                <w:sz w:val="20"/>
              </w:rPr>
              <w:t xml:space="preserve">7.4</w:t>
            </w:r>
          </w:p>
        </w:tc>
        <w:tc>
          <w:tcPr>
            <w:tcW w:w="5726" w:type="dxa"/>
          </w:tcPr>
          <w:p>
            <w:pPr>
              <w:pStyle w:val="0"/>
              <w:ind w:firstLine="283"/>
              <w:jc w:val="both"/>
            </w:pPr>
            <w:r>
              <w:rPr>
                <w:sz w:val="20"/>
              </w:rPr>
              <w:t xml:space="preserve">У организации практически отсутствует опыт работы по выбранному грантовому направлению:</w:t>
            </w:r>
          </w:p>
          <w:p>
            <w:pPr>
              <w:pStyle w:val="0"/>
              <w:ind w:firstLine="283"/>
              <w:jc w:val="both"/>
            </w:pPr>
            <w:r>
              <w:rPr>
                <w:sz w:val="20"/>
              </w:rPr>
              <w:t xml:space="preserve">- организация не имеет опыта активной деятельности либо подтвержденной деятельности за последний год;</w:t>
            </w:r>
          </w:p>
          <w:p>
            <w:pPr>
              <w:pStyle w:val="0"/>
              <w:ind w:firstLine="283"/>
              <w:jc w:val="both"/>
            </w:pPr>
            <w:r>
              <w:rPr>
                <w:sz w:val="20"/>
              </w:rPr>
              <w:t xml:space="preserve">- опыт проектной работы организации в заявке практически не описан;</w:t>
            </w:r>
          </w:p>
          <w:p>
            <w:pPr>
              <w:pStyle w:val="0"/>
              <w:ind w:firstLine="283"/>
              <w:jc w:val="both"/>
            </w:pPr>
            <w:r>
              <w:rPr>
                <w:sz w:val="20"/>
              </w:rPr>
              <w:t xml:space="preserve">- имеются противоречия между описанным в заявке опытом организации и информацией из открытых источников (например, заявленные как реализованные мероприятия не отражены в общедоступных отчетах организации);</w:t>
            </w:r>
          </w:p>
          <w:p>
            <w:pPr>
              <w:pStyle w:val="0"/>
              <w:ind w:firstLine="283"/>
              <w:jc w:val="both"/>
            </w:pPr>
            <w:r>
              <w:rPr>
                <w:sz w:val="20"/>
              </w:rPr>
              <w:t xml:space="preserve">- организация не имеет лицензии, иных разрешительных документов, обязательных для осуществления запланированной деятельности (сведения о них в заявке отсутствуют);</w:t>
            </w:r>
          </w:p>
          <w:p>
            <w:pPr>
              <w:pStyle w:val="0"/>
              <w:ind w:firstLine="283"/>
              <w:jc w:val="both"/>
            </w:pPr>
            <w:r>
              <w:rPr>
                <w:sz w:val="20"/>
              </w:rPr>
              <w:t xml:space="preserve">- основной профиль деятельности организации не соответствует выбранному грантовому направлению;</w:t>
            </w:r>
          </w:p>
          <w:p>
            <w:pPr>
              <w:pStyle w:val="0"/>
              <w:ind w:firstLine="283"/>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460" w:type="dxa"/>
          </w:tcPr>
          <w:p>
            <w:pPr>
              <w:pStyle w:val="0"/>
              <w:outlineLvl w:val="2"/>
            </w:pPr>
            <w:r>
              <w:rPr>
                <w:sz w:val="20"/>
              </w:rPr>
              <w:t xml:space="preserve">8</w:t>
            </w:r>
          </w:p>
        </w:tc>
        <w:tc>
          <w:tcPr>
            <w:tcW w:w="5726" w:type="dxa"/>
          </w:tcPr>
          <w:p>
            <w:pPr>
              <w:pStyle w:val="0"/>
              <w:ind w:firstLine="283"/>
              <w:jc w:val="both"/>
            </w:pPr>
            <w:r>
              <w:rPr>
                <w:sz w:val="20"/>
              </w:rPr>
              <w:t xml:space="preserve">Соответствие опыта и компетенций команды проекта планируемой деятельности</w:t>
            </w:r>
          </w:p>
        </w:tc>
        <w:tc>
          <w:tcPr>
            <w:tcW w:w="1552" w:type="dxa"/>
          </w:tcPr>
          <w:p>
            <w:pPr>
              <w:pStyle w:val="0"/>
              <w:jc w:val="center"/>
            </w:pPr>
            <w:r>
              <w:rPr>
                <w:sz w:val="20"/>
              </w:rPr>
            </w:r>
          </w:p>
        </w:tc>
        <w:tc>
          <w:tcPr>
            <w:tcW w:w="1304" w:type="dxa"/>
          </w:tcPr>
          <w:p>
            <w:pPr>
              <w:pStyle w:val="0"/>
              <w:jc w:val="center"/>
            </w:pPr>
            <w:r>
              <w:rPr>
                <w:sz w:val="20"/>
              </w:rPr>
            </w:r>
          </w:p>
        </w:tc>
      </w:tr>
      <w:tr>
        <w:tc>
          <w:tcPr>
            <w:tcW w:w="460" w:type="dxa"/>
          </w:tcPr>
          <w:p>
            <w:pPr>
              <w:pStyle w:val="0"/>
            </w:pPr>
            <w:r>
              <w:rPr>
                <w:sz w:val="20"/>
              </w:rPr>
              <w:t xml:space="preserve">8.1</w:t>
            </w:r>
          </w:p>
        </w:tc>
        <w:tc>
          <w:tcPr>
            <w:tcW w:w="5726" w:type="dxa"/>
          </w:tcPr>
          <w:p>
            <w:pPr>
              <w:pStyle w:val="0"/>
              <w:ind w:firstLine="283"/>
              <w:jc w:val="both"/>
            </w:pPr>
            <w:r>
              <w:rPr>
                <w:sz w:val="20"/>
              </w:rPr>
              <w:t xml:space="preserve">Данный критерий отлично выражен в заявке:</w:t>
            </w:r>
          </w:p>
          <w:p>
            <w:pPr>
              <w:pStyle w:val="0"/>
              <w:ind w:firstLine="283"/>
              <w:jc w:val="both"/>
            </w:pPr>
            <w:r>
              <w:rPr>
                <w:sz w:val="20"/>
              </w:rPr>
              <w:t xml:space="preserve">- проект полностью обеспечен опытными, квалифицированными специалистами по всем необходимым для реализации проекта профилям;</w:t>
            </w:r>
          </w:p>
          <w:p>
            <w:pPr>
              <w:pStyle w:val="0"/>
              <w:ind w:firstLine="283"/>
              <w:jc w:val="both"/>
            </w:pPr>
            <w:r>
              <w:rPr>
                <w:sz w:val="20"/>
              </w:rPr>
              <w:t xml:space="preserve">- в заявке доказана возможность каждого члена указанной в заявке команды качественно работать над проектом на условиях, в порядке и в сроки, установленные календарным планом и бюджетом проекта, без существенных замен в ходе проекта</w:t>
            </w:r>
          </w:p>
        </w:tc>
        <w:tc>
          <w:tcPr>
            <w:tcW w:w="1552" w:type="dxa"/>
          </w:tcPr>
          <w:p>
            <w:pPr>
              <w:pStyle w:val="0"/>
              <w:jc w:val="center"/>
            </w:pPr>
            <w:r>
              <w:rPr>
                <w:sz w:val="20"/>
              </w:rPr>
              <w:t xml:space="preserve">10</w:t>
            </w:r>
          </w:p>
        </w:tc>
        <w:tc>
          <w:tcPr>
            <w:tcW w:w="1304" w:type="dxa"/>
            <w:vMerge w:val="restart"/>
          </w:tcPr>
          <w:p>
            <w:pPr>
              <w:pStyle w:val="0"/>
              <w:jc w:val="center"/>
            </w:pPr>
            <w:r>
              <w:rPr>
                <w:sz w:val="20"/>
              </w:rPr>
              <w:t xml:space="preserve">6%</w:t>
            </w:r>
          </w:p>
        </w:tc>
      </w:tr>
      <w:tr>
        <w:tc>
          <w:tcPr>
            <w:tcW w:w="460" w:type="dxa"/>
          </w:tcPr>
          <w:p>
            <w:pPr>
              <w:pStyle w:val="0"/>
            </w:pPr>
            <w:r>
              <w:rPr>
                <w:sz w:val="20"/>
              </w:rPr>
              <w:t xml:space="preserve">8.2</w:t>
            </w:r>
          </w:p>
        </w:tc>
        <w:tc>
          <w:tcPr>
            <w:tcW w:w="5726" w:type="dxa"/>
          </w:tcPr>
          <w:p>
            <w:pPr>
              <w:pStyle w:val="0"/>
              <w:ind w:firstLine="283"/>
              <w:jc w:val="both"/>
            </w:pPr>
            <w:r>
              <w:rPr>
                <w:sz w:val="20"/>
              </w:rPr>
              <w:t xml:space="preserve">Данный критерий хорошо выражен в заявке:</w:t>
            </w:r>
          </w:p>
          <w:p>
            <w:pPr>
              <w:pStyle w:val="0"/>
              <w:ind w:firstLine="283"/>
              <w:jc w:val="both"/>
            </w:pPr>
            <w:r>
              <w:rPr>
                <w:sz w:val="20"/>
              </w:rPr>
              <w:t xml:space="preserve">- проект в целом обеспечен опытными, квалифицированными специалистами, но по некоторым необходимым профилям информация отсутствует;</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460" w:type="dxa"/>
          </w:tcPr>
          <w:p>
            <w:pPr>
              <w:pStyle w:val="0"/>
            </w:pPr>
            <w:r>
              <w:rPr>
                <w:sz w:val="20"/>
              </w:rPr>
              <w:t xml:space="preserve">8.3</w:t>
            </w:r>
          </w:p>
        </w:tc>
        <w:tc>
          <w:tcPr>
            <w:tcW w:w="5726" w:type="dxa"/>
          </w:tcPr>
          <w:p>
            <w:pPr>
              <w:pStyle w:val="0"/>
              <w:ind w:firstLine="283"/>
              <w:jc w:val="both"/>
            </w:pPr>
            <w:r>
              <w:rPr>
                <w:sz w:val="20"/>
              </w:rPr>
              <w:t xml:space="preserve">Данный критерий удовлетворительно выражен в заявке:</w:t>
            </w:r>
          </w:p>
          <w:p>
            <w:pPr>
              <w:pStyle w:val="0"/>
              <w:ind w:firstLine="283"/>
              <w:jc w:val="both"/>
            </w:pPr>
            <w:r>
              <w:rPr>
                <w:sz w:val="20"/>
              </w:rPr>
              <w:t xml:space="preserve">- в заявке содержится описание команды проекта, но конкретные исполнители основных мероприятий не названы либо не приводятся сведения об их знаниях и опыте или о выполняемых функциях в рамках реализации проекта;</w:t>
            </w:r>
          </w:p>
          <w:p>
            <w:pPr>
              <w:pStyle w:val="0"/>
              <w:ind w:firstLine="283"/>
              <w:jc w:val="both"/>
            </w:pPr>
            <w:r>
              <w:rPr>
                <w:sz w:val="20"/>
              </w:rPr>
              <w:t xml:space="preserve">- указанные в заявке члены команды проекта не в полной мере соответствуют уровню опыта и компетенций, необходимых для реализации проекта;</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460" w:type="dxa"/>
          </w:tcPr>
          <w:p>
            <w:pPr>
              <w:pStyle w:val="0"/>
            </w:pPr>
            <w:r>
              <w:rPr>
                <w:sz w:val="20"/>
              </w:rPr>
              <w:t xml:space="preserve">8.4</w:t>
            </w:r>
          </w:p>
        </w:tc>
        <w:tc>
          <w:tcPr>
            <w:tcW w:w="5726" w:type="dxa"/>
          </w:tcPr>
          <w:p>
            <w:pPr>
              <w:pStyle w:val="0"/>
              <w:ind w:firstLine="283"/>
              <w:jc w:val="both"/>
            </w:pPr>
            <w:r>
              <w:rPr>
                <w:sz w:val="20"/>
              </w:rPr>
              <w:t xml:space="preserve">Данный критерий плохо выражен в заявке:</w:t>
            </w:r>
          </w:p>
          <w:p>
            <w:pPr>
              <w:pStyle w:val="0"/>
              <w:ind w:firstLine="283"/>
              <w:jc w:val="both"/>
            </w:pPr>
            <w:r>
              <w:rPr>
                <w:sz w:val="20"/>
              </w:rPr>
              <w:t xml:space="preserve">- описание команды проекта, ее квалификации, опыта работы в заявке практически отсутствует;</w:t>
            </w:r>
          </w:p>
          <w:p>
            <w:pPr>
              <w:pStyle w:val="0"/>
              <w:ind w:firstLine="283"/>
              <w:jc w:val="both"/>
            </w:pPr>
            <w:r>
              <w:rPr>
                <w:sz w:val="20"/>
              </w:rPr>
              <w:t xml:space="preserve">- имеются высокие риски реализации проекта в силу недостаточности опыта и низкой квалификации команды проекта;</w:t>
            </w:r>
          </w:p>
          <w:p>
            <w:pPr>
              <w:pStyle w:val="0"/>
              <w:ind w:firstLine="283"/>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460" w:type="dxa"/>
          </w:tcPr>
          <w:p>
            <w:pPr>
              <w:pStyle w:val="0"/>
              <w:outlineLvl w:val="2"/>
            </w:pPr>
            <w:r>
              <w:rPr>
                <w:sz w:val="20"/>
              </w:rPr>
              <w:t xml:space="preserve">9</w:t>
            </w:r>
          </w:p>
        </w:tc>
        <w:tc>
          <w:tcPr>
            <w:tcW w:w="5726" w:type="dxa"/>
          </w:tcPr>
          <w:p>
            <w:pPr>
              <w:pStyle w:val="0"/>
              <w:ind w:firstLine="283"/>
              <w:jc w:val="both"/>
            </w:pPr>
            <w:r>
              <w:rPr>
                <w:sz w:val="20"/>
              </w:rPr>
              <w:t xml:space="preserve">Информационная открытость организации</w:t>
            </w:r>
          </w:p>
        </w:tc>
        <w:tc>
          <w:tcPr>
            <w:tcW w:w="1552" w:type="dxa"/>
          </w:tcPr>
          <w:p>
            <w:pPr>
              <w:pStyle w:val="0"/>
              <w:jc w:val="center"/>
            </w:pPr>
            <w:r>
              <w:rPr>
                <w:sz w:val="20"/>
              </w:rPr>
            </w:r>
          </w:p>
        </w:tc>
        <w:tc>
          <w:tcPr>
            <w:tcW w:w="1304" w:type="dxa"/>
          </w:tcPr>
          <w:p>
            <w:pPr>
              <w:pStyle w:val="0"/>
              <w:jc w:val="center"/>
            </w:pPr>
            <w:r>
              <w:rPr>
                <w:sz w:val="20"/>
              </w:rPr>
            </w:r>
          </w:p>
        </w:tc>
      </w:tr>
      <w:tr>
        <w:tc>
          <w:tcPr>
            <w:tcW w:w="460" w:type="dxa"/>
          </w:tcPr>
          <w:p>
            <w:pPr>
              <w:pStyle w:val="0"/>
            </w:pPr>
            <w:r>
              <w:rPr>
                <w:sz w:val="20"/>
              </w:rPr>
              <w:t xml:space="preserve">9.1</w:t>
            </w:r>
          </w:p>
        </w:tc>
        <w:tc>
          <w:tcPr>
            <w:tcW w:w="5726" w:type="dxa"/>
          </w:tcPr>
          <w:p>
            <w:pPr>
              <w:pStyle w:val="0"/>
              <w:ind w:firstLine="283"/>
              <w:jc w:val="both"/>
            </w:pPr>
            <w:r>
              <w:rPr>
                <w:sz w:val="20"/>
              </w:rPr>
              <w:t xml:space="preserve">Данный критерий отлично выражен в заявке:</w:t>
            </w:r>
          </w:p>
          <w:p>
            <w:pPr>
              <w:pStyle w:val="0"/>
              <w:ind w:firstLine="283"/>
              <w:jc w:val="both"/>
            </w:pPr>
            <w:r>
              <w:rPr>
                <w:sz w:val="20"/>
              </w:rPr>
              <w:t xml:space="preserve">- информацию о деятельности организации легко найти в Интернете с помощью поисковых запросов;</w:t>
            </w:r>
          </w:p>
          <w:p>
            <w:pPr>
              <w:pStyle w:val="0"/>
              <w:ind w:firstLine="283"/>
              <w:jc w:val="both"/>
            </w:pPr>
            <w:r>
              <w:rPr>
                <w:sz w:val="20"/>
              </w:rPr>
              <w:t xml:space="preserve">- деятельность организации систематически освещается в средствах массовой информации;</w:t>
            </w:r>
          </w:p>
          <w:p>
            <w:pPr>
              <w:pStyle w:val="0"/>
              <w:ind w:firstLine="283"/>
              <w:jc w:val="both"/>
            </w:pPr>
            <w:r>
              <w:rPr>
                <w:sz w:val="20"/>
              </w:rPr>
              <w:t xml:space="preserve">- организация имеет действующий, постоянно обновляемый сайт, на котором представлены подробные годовые отчеты о ее деятельности, размещена актуальная информация о реализованных проектах и мероприятиях, составе органов управления;</w:t>
            </w:r>
          </w:p>
          <w:p>
            <w:pPr>
              <w:pStyle w:val="0"/>
              <w:ind w:firstLine="283"/>
              <w:jc w:val="both"/>
            </w:pPr>
            <w:r>
              <w:rPr>
                <w:sz w:val="20"/>
              </w:rPr>
              <w:t xml:space="preserve">- организация имеет страницы (группы) в социальных сетях, на которых регулярно обновляется информация;</w:t>
            </w:r>
          </w:p>
          <w:p>
            <w:pPr>
              <w:pStyle w:val="0"/>
              <w:ind w:firstLine="283"/>
              <w:jc w:val="both"/>
            </w:pPr>
            <w:r>
              <w:rPr>
                <w:sz w:val="20"/>
              </w:rPr>
              <w:t xml:space="preserve">- организация регулярно публикует годовую отчетность о своей деятельности</w:t>
            </w:r>
          </w:p>
        </w:tc>
        <w:tc>
          <w:tcPr>
            <w:tcW w:w="1552" w:type="dxa"/>
          </w:tcPr>
          <w:p>
            <w:pPr>
              <w:pStyle w:val="0"/>
              <w:jc w:val="center"/>
            </w:pPr>
            <w:r>
              <w:rPr>
                <w:sz w:val="20"/>
              </w:rPr>
              <w:t xml:space="preserve">10</w:t>
            </w:r>
          </w:p>
        </w:tc>
        <w:tc>
          <w:tcPr>
            <w:tcW w:w="1304" w:type="dxa"/>
            <w:vMerge w:val="restart"/>
          </w:tcPr>
          <w:p>
            <w:pPr>
              <w:pStyle w:val="0"/>
              <w:jc w:val="center"/>
            </w:pPr>
            <w:r>
              <w:rPr>
                <w:sz w:val="20"/>
              </w:rPr>
              <w:t xml:space="preserve">5%</w:t>
            </w:r>
          </w:p>
        </w:tc>
      </w:tr>
      <w:tr>
        <w:tc>
          <w:tcPr>
            <w:tcW w:w="460" w:type="dxa"/>
          </w:tcPr>
          <w:p>
            <w:pPr>
              <w:pStyle w:val="0"/>
            </w:pPr>
            <w:r>
              <w:rPr>
                <w:sz w:val="20"/>
              </w:rPr>
              <w:t xml:space="preserve">9.2</w:t>
            </w:r>
          </w:p>
        </w:tc>
        <w:tc>
          <w:tcPr>
            <w:tcW w:w="5726" w:type="dxa"/>
          </w:tcPr>
          <w:p>
            <w:pPr>
              <w:pStyle w:val="0"/>
              <w:ind w:firstLine="283"/>
              <w:jc w:val="both"/>
            </w:pPr>
            <w:r>
              <w:rPr>
                <w:sz w:val="20"/>
              </w:rPr>
              <w:t xml:space="preserve">Данный критерий хорошо выражен в заявке:</w:t>
            </w:r>
          </w:p>
          <w:p>
            <w:pPr>
              <w:pStyle w:val="0"/>
              <w:ind w:firstLine="283"/>
              <w:jc w:val="both"/>
            </w:pPr>
            <w:r>
              <w:rPr>
                <w:sz w:val="20"/>
              </w:rPr>
              <w:t xml:space="preserve">- организация имеет действующий сайт, страницы (группы) в социальных сетях с актуальной информацией, однако без подробных сведений о работе организации, привлекаемых ею ресурсах, составе органов управления, реализованных программах, проектах;</w:t>
            </w:r>
          </w:p>
          <w:p>
            <w:pPr>
              <w:pStyle w:val="0"/>
              <w:ind w:firstLine="283"/>
              <w:jc w:val="both"/>
            </w:pPr>
            <w:r>
              <w:rPr>
                <w:sz w:val="20"/>
              </w:rPr>
              <w:t xml:space="preserve">- информацию о деятельности организации легко найти в Интернете с помощью поисковых запросов;</w:t>
            </w:r>
          </w:p>
          <w:p>
            <w:pPr>
              <w:pStyle w:val="0"/>
              <w:ind w:firstLine="283"/>
              <w:jc w:val="both"/>
            </w:pPr>
            <w:r>
              <w:rPr>
                <w:sz w:val="20"/>
              </w:rPr>
              <w:t xml:space="preserve">- деятельность организации периодически освещается в средствах массовой информации;</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460" w:type="dxa"/>
          </w:tcPr>
          <w:p>
            <w:pPr>
              <w:pStyle w:val="0"/>
            </w:pPr>
            <w:r>
              <w:rPr>
                <w:sz w:val="20"/>
              </w:rPr>
              <w:t xml:space="preserve">9.3</w:t>
            </w:r>
          </w:p>
        </w:tc>
        <w:tc>
          <w:tcPr>
            <w:tcW w:w="5726" w:type="dxa"/>
          </w:tcPr>
          <w:p>
            <w:pPr>
              <w:pStyle w:val="0"/>
              <w:ind w:firstLine="283"/>
              <w:jc w:val="both"/>
            </w:pPr>
            <w:r>
              <w:rPr>
                <w:sz w:val="20"/>
              </w:rPr>
              <w:t xml:space="preserve">Данный критерий удовлетворительно выражен в заявке:</w:t>
            </w:r>
          </w:p>
          <w:p>
            <w:pPr>
              <w:pStyle w:val="0"/>
              <w:ind w:firstLine="283"/>
              <w:jc w:val="both"/>
            </w:pPr>
            <w:r>
              <w:rPr>
                <w:sz w:val="20"/>
              </w:rPr>
              <w:t xml:space="preserve">- деятельность организации мало освещается в средствах массовой информации и в Интернете;</w:t>
            </w:r>
          </w:p>
          <w:p>
            <w:pPr>
              <w:pStyle w:val="0"/>
              <w:ind w:firstLine="283"/>
              <w:jc w:val="both"/>
            </w:pPr>
            <w:r>
              <w:rPr>
                <w:sz w:val="20"/>
              </w:rPr>
              <w:t xml:space="preserve">- у организации есть сайт и (или) страница (группа) в социальной сети, которые содержат неактуальную (устаревшую) информацию;</w:t>
            </w:r>
          </w:p>
          <w:p>
            <w:pPr>
              <w:pStyle w:val="0"/>
              <w:ind w:firstLine="283"/>
              <w:jc w:val="both"/>
            </w:pPr>
            <w:r>
              <w:rPr>
                <w:sz w:val="20"/>
              </w:rPr>
              <w:t xml:space="preserve">- отчеты о деятельности организации отсутствуют в открытом доступе;</w:t>
            </w:r>
          </w:p>
          <w:p>
            <w:pPr>
              <w:pStyle w:val="0"/>
              <w:ind w:firstLine="283"/>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460" w:type="dxa"/>
          </w:tcPr>
          <w:p>
            <w:pPr>
              <w:pStyle w:val="0"/>
            </w:pPr>
            <w:r>
              <w:rPr>
                <w:sz w:val="20"/>
              </w:rPr>
              <w:t xml:space="preserve">9.4</w:t>
            </w:r>
          </w:p>
        </w:tc>
        <w:tc>
          <w:tcPr>
            <w:tcW w:w="5726" w:type="dxa"/>
          </w:tcPr>
          <w:p>
            <w:pPr>
              <w:pStyle w:val="0"/>
              <w:ind w:firstLine="283"/>
              <w:jc w:val="both"/>
            </w:pPr>
            <w:r>
              <w:rPr>
                <w:sz w:val="20"/>
              </w:rPr>
              <w:t xml:space="preserve">Данный критерий плохо выражен в заявке:</w:t>
            </w:r>
          </w:p>
          <w:p>
            <w:pPr>
              <w:pStyle w:val="0"/>
              <w:ind w:firstLine="283"/>
              <w:jc w:val="both"/>
            </w:pPr>
            <w:r>
              <w:rPr>
                <w:sz w:val="20"/>
              </w:rPr>
              <w:t xml:space="preserve">- информация о деятельности организации практически отсутствует в Интернете;</w:t>
            </w:r>
          </w:p>
          <w:p>
            <w:pPr>
              <w:pStyle w:val="0"/>
              <w:ind w:firstLine="283"/>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Воронежской обл. от 20.08.2025 N 547</w:t>
            <w:br/>
            <w:t>"Об утверждении Порядка предоставления гранта в форме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461" TargetMode = "External"/><Relationship Id="rId9" Type="http://schemas.openxmlformats.org/officeDocument/2006/relationships/hyperlink" Target="https://login.consultant.ru/link/?req=doc&amp;base=LAW&amp;n=522972&amp;dst=100020" TargetMode = "External"/><Relationship Id="rId10" Type="http://schemas.openxmlformats.org/officeDocument/2006/relationships/hyperlink" Target="https://login.consultant.ru/link/?req=doc&amp;base=RLAW181&amp;n=134276" TargetMode = "External"/><Relationship Id="rId11" Type="http://schemas.openxmlformats.org/officeDocument/2006/relationships/hyperlink" Target="https://login.consultant.ru/link/?req=doc&amp;base=RLAW181&amp;n=124833" TargetMode = "External"/><Relationship Id="rId12" Type="http://schemas.openxmlformats.org/officeDocument/2006/relationships/hyperlink" Target="https://login.consultant.ru/link/?req=doc&amp;base=LAW&amp;n=520154&amp;dst=3704" TargetMode = "External"/><Relationship Id="rId13" Type="http://schemas.openxmlformats.org/officeDocument/2006/relationships/hyperlink" Target="https://login.consultant.ru/link/?req=doc&amp;base=LAW&amp;n=520154&amp;dst=3722" TargetMode = "External"/><Relationship Id="rId14" Type="http://schemas.openxmlformats.org/officeDocument/2006/relationships/hyperlink" Target="https://login.consultant.ru/link/?req=doc&amp;base=RLAW181&amp;n=134276&amp;dst=2" TargetMode = "External"/><Relationship Id="rId15" Type="http://schemas.openxmlformats.org/officeDocument/2006/relationships/hyperlink" Target="https://login.consultant.ru/link/?req=doc&amp;base=LAW&amp;n=121087&amp;dst=100142" TargetMode = "External"/><Relationship Id="rId16" Type="http://schemas.openxmlformats.org/officeDocument/2006/relationships/hyperlink" Target="https://login.consultant.ru/link/?req=doc&amp;base=LAW&amp;n=503698" TargetMode = "External"/><Relationship Id="rId17" Type="http://schemas.openxmlformats.org/officeDocument/2006/relationships/hyperlink" Target="https://login.consultant.ru/link/?req=doc&amp;base=LAW&amp;n=520119&amp;dst=5769" TargetMode = "External"/><Relationship Id="rId18" Type="http://schemas.openxmlformats.org/officeDocument/2006/relationships/hyperlink" Target="https://login.consultant.ru/link/?req=doc&amp;base=LAW&amp;n=520154&amp;dst=3704" TargetMode = "External"/><Relationship Id="rId19" Type="http://schemas.openxmlformats.org/officeDocument/2006/relationships/hyperlink" Target="https://login.consultant.ru/link/?req=doc&amp;base=LAW&amp;n=520154&amp;dst=3722" TargetMode = "External"/><Relationship Id="rId20" Type="http://schemas.openxmlformats.org/officeDocument/2006/relationships/hyperlink" Target="https://login.consultant.ru/link/?req=doc&amp;base=LAW&amp;n=520154&amp;dst=3704" TargetMode = "External"/><Relationship Id="rId21" Type="http://schemas.openxmlformats.org/officeDocument/2006/relationships/hyperlink" Target="https://login.consultant.ru/link/?req=doc&amp;base=LAW&amp;n=520154&amp;dst=3722" TargetMode = "External"/><Relationship Id="rId22" Type="http://schemas.openxmlformats.org/officeDocument/2006/relationships/hyperlink" Target="https://login.consultant.ru/link/?req=doc&amp;base=LAW&amp;n=520154&amp;dst=3704" TargetMode = "External"/><Relationship Id="rId23" Type="http://schemas.openxmlformats.org/officeDocument/2006/relationships/hyperlink" Target="https://login.consultant.ru/link/?req=doc&amp;base=LAW&amp;n=520154&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Воронежской обл. от 20.08.2025 N 547
"Об утверждении Порядка предоставления гранта в форме субсидии на развитие деятельности негосударственных организаций в сфере театрального искусства Воронежской области"</dc:title>
  <dcterms:created xsi:type="dcterms:W3CDTF">2026-01-08T11:42:45Z</dcterms:created>
</cp:coreProperties>
</file>