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Указ Губернатора Воронежской обл. от 04.09.2025 N 174-у</w:t>
              <w:br/>
              <w:t xml:space="preserve">"О комиссии Воронежской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w:t>
              <w:br/>
              <w:t xml:space="preserve">(вместе с "Положением о комиссии Воронежской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ГУБЕРНАТОР ВОРОНЕЖСКОЙ ОБЛАСТИ</w:t>
      </w:r>
    </w:p>
    <w:p>
      <w:pPr>
        <w:pStyle w:val="2"/>
        <w:jc w:val="center"/>
      </w:pPr>
      <w:r>
        <w:rPr>
          <w:sz w:val="20"/>
        </w:rPr>
      </w:r>
    </w:p>
    <w:p>
      <w:pPr>
        <w:pStyle w:val="2"/>
        <w:jc w:val="center"/>
      </w:pPr>
      <w:r>
        <w:rPr>
          <w:sz w:val="20"/>
        </w:rPr>
        <w:t xml:space="preserve">УКАЗ</w:t>
      </w:r>
    </w:p>
    <w:p>
      <w:pPr>
        <w:pStyle w:val="2"/>
        <w:jc w:val="center"/>
      </w:pPr>
      <w:r>
        <w:rPr>
          <w:sz w:val="20"/>
        </w:rPr>
        <w:t xml:space="preserve">от 4 сентября 2025 г. N 174-у</w:t>
      </w:r>
    </w:p>
    <w:p>
      <w:pPr>
        <w:pStyle w:val="2"/>
        <w:jc w:val="both"/>
      </w:pPr>
      <w:r>
        <w:rPr>
          <w:sz w:val="20"/>
        </w:rPr>
      </w:r>
    </w:p>
    <w:p>
      <w:pPr>
        <w:pStyle w:val="2"/>
        <w:jc w:val="center"/>
      </w:pPr>
      <w:r>
        <w:rPr>
          <w:sz w:val="20"/>
        </w:rPr>
        <w:t xml:space="preserve">О КОМИССИИ ВОРОНЕЖСКОЙ ОБЛАСТИ</w:t>
      </w:r>
    </w:p>
    <w:p>
      <w:pPr>
        <w:pStyle w:val="2"/>
        <w:jc w:val="center"/>
      </w:pPr>
      <w:r>
        <w:rPr>
          <w:sz w:val="20"/>
        </w:rPr>
        <w:t xml:space="preserve">ПО УСТАНОВЛЕНИЮ ПРИЧИННО-СЛЕДСТВЕННОЙ СВЯЗИ МЕЖДУ ПОЛУЧЕНИЕМ</w:t>
      </w:r>
    </w:p>
    <w:p>
      <w:pPr>
        <w:pStyle w:val="2"/>
        <w:jc w:val="center"/>
      </w:pPr>
      <w:r>
        <w:rPr>
          <w:sz w:val="20"/>
        </w:rPr>
        <w:t xml:space="preserve">ВРЕДА ЖИЗНИ ИЛИ ЗДОРОВЬЮ ДОБРОВОЛЬЦА (ВОЛОНТЕРА)</w:t>
      </w:r>
    </w:p>
    <w:p>
      <w:pPr>
        <w:pStyle w:val="2"/>
        <w:jc w:val="center"/>
      </w:pPr>
      <w:r>
        <w:rPr>
          <w:sz w:val="20"/>
        </w:rPr>
        <w:t xml:space="preserve">И ОСУЩЕСТВЛЕНИЕМ ИМ ВИДА ДОБРОВОЛЬЧЕСКОЙ (ВОЛОНТЕРСКОЙ)</w:t>
      </w:r>
    </w:p>
    <w:p>
      <w:pPr>
        <w:pStyle w:val="2"/>
        <w:jc w:val="center"/>
      </w:pPr>
      <w:r>
        <w:rPr>
          <w:sz w:val="20"/>
        </w:rPr>
        <w:t xml:space="preserve">ДЕЯТЕЛЬНОСТИ, А ТАКЖЕ ПРИЧИННО-СЛЕДСТВЕННОЙ СВЯЗИ</w:t>
      </w:r>
    </w:p>
    <w:p>
      <w:pPr>
        <w:pStyle w:val="2"/>
        <w:jc w:val="center"/>
      </w:pPr>
      <w:r>
        <w:rPr>
          <w:sz w:val="20"/>
        </w:rPr>
        <w:t xml:space="preserve">МЕЖДУ СМЕРТЬЮ (ГИБЕЛЬЮ) ДОБРОВОЛЬЦА (ВОЛОНТЕРА) И ВРЕДОМ</w:t>
      </w:r>
    </w:p>
    <w:p>
      <w:pPr>
        <w:pStyle w:val="2"/>
        <w:jc w:val="center"/>
      </w:pPr>
      <w:r>
        <w:rPr>
          <w:sz w:val="20"/>
        </w:rPr>
        <w:t xml:space="preserve">ЖИЗНИ ИЛИ ЗДОРОВЬЮ ДОБРОВОЛЬЦА (ВОЛОНТЕРА), ПОЛУЧЕННЫМ</w:t>
      </w:r>
    </w:p>
    <w:p>
      <w:pPr>
        <w:pStyle w:val="2"/>
        <w:jc w:val="center"/>
      </w:pPr>
      <w:r>
        <w:rPr>
          <w:sz w:val="20"/>
        </w:rPr>
        <w:t xml:space="preserve">ДОБРОВОЛЬЦЕМ (ВОЛОНТЕРОМ) ПРИ ОСУЩЕСТВЛЕНИИ ИМ</w:t>
      </w:r>
    </w:p>
    <w:p>
      <w:pPr>
        <w:pStyle w:val="2"/>
        <w:jc w:val="center"/>
      </w:pPr>
      <w:r>
        <w:rPr>
          <w:sz w:val="20"/>
        </w:rPr>
        <w:t xml:space="preserve">ДОБРОВОЛЬЧЕСКОЙ (ВОЛОНТЕРСКОЙ) ДЕЯТЕЛЬНОСТИ, В СЛУЧАЕ ЕСЛИ</w:t>
      </w:r>
    </w:p>
    <w:p>
      <w:pPr>
        <w:pStyle w:val="2"/>
        <w:jc w:val="center"/>
      </w:pPr>
      <w:r>
        <w:rPr>
          <w:sz w:val="20"/>
        </w:rPr>
        <w:t xml:space="preserve">СМЕРТЬ (ГИБЕЛЬ) ДОБРОВОЛЬЦА (ВОЛОНТЕРА) НАСТУПИЛА</w:t>
      </w:r>
    </w:p>
    <w:p>
      <w:pPr>
        <w:pStyle w:val="2"/>
        <w:jc w:val="center"/>
      </w:pPr>
      <w:r>
        <w:rPr>
          <w:sz w:val="20"/>
        </w:rPr>
        <w:t xml:space="preserve">ДО ИСТЕЧЕНИЯ ОДНОГО ГОДА СО ДНЯ ПОЛУЧЕНИЯ ВРЕДА ЖИЗНИ ИЛИ</w:t>
      </w:r>
    </w:p>
    <w:p>
      <w:pPr>
        <w:pStyle w:val="2"/>
        <w:jc w:val="center"/>
      </w:pPr>
      <w:r>
        <w:rPr>
          <w:sz w:val="20"/>
        </w:rPr>
        <w:t xml:space="preserve">ЗДОРОВЬЮ ДОБРОВОЛЬЦА (ВОЛОНТЕРА), ПОЛУЧЕННОГО ДОБРОВОЛЬЦЕМ</w:t>
      </w:r>
    </w:p>
    <w:p>
      <w:pPr>
        <w:pStyle w:val="2"/>
        <w:jc w:val="center"/>
      </w:pPr>
      <w:r>
        <w:rPr>
          <w:sz w:val="20"/>
        </w:rPr>
        <w:t xml:space="preserve">(ВОЛОНТЕРОМ) ПРИ ОСУЩЕСТВЛЕНИИ ИМ ДОБРОВОЛЬЧЕСКОЙ</w:t>
      </w:r>
    </w:p>
    <w:p>
      <w:pPr>
        <w:pStyle w:val="2"/>
        <w:jc w:val="center"/>
      </w:pPr>
      <w:r>
        <w:rPr>
          <w:sz w:val="20"/>
        </w:rPr>
        <w:t xml:space="preserve">(ВОЛОНТЕРСКОЙ) ДЕЯТЕЛЬНОСТИ</w:t>
      </w:r>
    </w:p>
    <w:p>
      <w:pPr>
        <w:pStyle w:val="0"/>
        <w:jc w:val="both"/>
      </w:pPr>
      <w:r>
        <w:rPr>
          <w:sz w:val="20"/>
        </w:rPr>
      </w:r>
    </w:p>
    <w:p>
      <w:pPr>
        <w:pStyle w:val="0"/>
        <w:ind w:firstLine="540"/>
        <w:jc w:val="both"/>
      </w:pPr>
      <w:r>
        <w:rPr>
          <w:sz w:val="20"/>
        </w:rPr>
        <w:t xml:space="preserve">В соответствии с </w:t>
      </w:r>
      <w:hyperlink w:history="0" r:id="rId8"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7 марта 2023 года N 356 "Об утверждении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постановляю:</w:t>
      </w:r>
    </w:p>
    <w:p>
      <w:pPr>
        <w:pStyle w:val="0"/>
        <w:spacing w:before="200" w:lineRule="auto"/>
        <w:ind w:firstLine="540"/>
        <w:jc w:val="both"/>
      </w:pPr>
      <w:r>
        <w:rPr>
          <w:sz w:val="20"/>
        </w:rPr>
        <w:t xml:space="preserve">1. Создать комиссию Воронежской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(далее - комиссия).</w:t>
      </w:r>
    </w:p>
    <w:p>
      <w:pPr>
        <w:pStyle w:val="0"/>
        <w:spacing w:before="200" w:lineRule="auto"/>
        <w:ind w:firstLine="540"/>
        <w:jc w:val="both"/>
      </w:pPr>
      <w:r>
        <w:rPr>
          <w:sz w:val="20"/>
        </w:rPr>
        <w:t xml:space="preserve">2. Утвердить:</w:t>
      </w:r>
    </w:p>
    <w:p>
      <w:pPr>
        <w:pStyle w:val="0"/>
        <w:spacing w:before="200" w:lineRule="auto"/>
        <w:ind w:firstLine="540"/>
        <w:jc w:val="both"/>
      </w:pPr>
      <w:r>
        <w:rPr>
          <w:sz w:val="20"/>
        </w:rPr>
        <w:t xml:space="preserve">2.1. </w:t>
      </w:r>
      <w:hyperlink w:history="0" w:anchor="P43" w:tooltip="ПОЛОЖЕНИЕ">
        <w:r>
          <w:rPr>
            <w:sz w:val="20"/>
            <w:color w:val="0000ff"/>
          </w:rPr>
          <w:t xml:space="preserve">Положение</w:t>
        </w:r>
      </w:hyperlink>
      <w:r>
        <w:rPr>
          <w:sz w:val="20"/>
        </w:rPr>
        <w:t xml:space="preserve"> о комиссии согласно приложению N 1 к настоящему указу.</w:t>
      </w:r>
    </w:p>
    <w:p>
      <w:pPr>
        <w:pStyle w:val="0"/>
        <w:spacing w:before="200" w:lineRule="auto"/>
        <w:ind w:firstLine="540"/>
        <w:jc w:val="both"/>
      </w:pPr>
      <w:r>
        <w:rPr>
          <w:sz w:val="20"/>
        </w:rPr>
        <w:t xml:space="preserve">2.2. </w:t>
      </w:r>
      <w:hyperlink w:history="0" w:anchor="P107" w:tooltip="СОСТАВ">
        <w:r>
          <w:rPr>
            <w:sz w:val="20"/>
            <w:color w:val="0000ff"/>
          </w:rPr>
          <w:t xml:space="preserve">Состав</w:t>
        </w:r>
      </w:hyperlink>
      <w:r>
        <w:rPr>
          <w:sz w:val="20"/>
        </w:rPr>
        <w:t xml:space="preserve"> комиссии согласно приложению N 2 к настоящему указу.</w:t>
      </w:r>
    </w:p>
    <w:p>
      <w:pPr>
        <w:pStyle w:val="0"/>
        <w:spacing w:before="200" w:lineRule="auto"/>
        <w:ind w:firstLine="540"/>
        <w:jc w:val="both"/>
      </w:pPr>
      <w:r>
        <w:rPr>
          <w:sz w:val="20"/>
        </w:rPr>
        <w:t xml:space="preserve">3. Контроль за исполнением настоящего указа возложить на заместителя Губернатора Воронежской области Маслова Д.Н.</w:t>
      </w:r>
    </w:p>
    <w:p>
      <w:pPr>
        <w:pStyle w:val="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Губернатора Воронежской области</w:t>
      </w:r>
    </w:p>
    <w:p>
      <w:pPr>
        <w:pStyle w:val="0"/>
        <w:jc w:val="right"/>
      </w:pPr>
      <w:r>
        <w:rPr>
          <w:sz w:val="20"/>
        </w:rPr>
        <w:t xml:space="preserve">С.Б.ТРУХАЧЕВ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both"/>
      </w:pPr>
      <w:r>
        <w:rPr>
          <w:sz w:val="20"/>
        </w:rPr>
      </w:r>
    </w:p>
    <w:p>
      <w:pPr>
        <w:pStyle w:val="0"/>
        <w:jc w:val="right"/>
      </w:pPr>
      <w:r>
        <w:rPr>
          <w:sz w:val="20"/>
        </w:rPr>
        <w:t xml:space="preserve">Утверждено</w:t>
      </w:r>
    </w:p>
    <w:p>
      <w:pPr>
        <w:pStyle w:val="0"/>
        <w:jc w:val="right"/>
      </w:pPr>
      <w:r>
        <w:rPr>
          <w:sz w:val="20"/>
        </w:rPr>
        <w:t xml:space="preserve">указом</w:t>
      </w:r>
    </w:p>
    <w:p>
      <w:pPr>
        <w:pStyle w:val="0"/>
        <w:jc w:val="right"/>
      </w:pPr>
      <w:r>
        <w:rPr>
          <w:sz w:val="20"/>
        </w:rPr>
        <w:t xml:space="preserve">Губернатора Воронежской области</w:t>
      </w:r>
    </w:p>
    <w:p>
      <w:pPr>
        <w:pStyle w:val="0"/>
        <w:jc w:val="right"/>
      </w:pPr>
      <w:r>
        <w:rPr>
          <w:sz w:val="20"/>
        </w:rPr>
        <w:t xml:space="preserve">от 04.09.2025 N 174-у</w:t>
      </w:r>
    </w:p>
    <w:p>
      <w:pPr>
        <w:pStyle w:val="0"/>
        <w:jc w:val="both"/>
      </w:pPr>
      <w:r>
        <w:rPr>
          <w:sz w:val="20"/>
        </w:rPr>
      </w:r>
    </w:p>
    <w:bookmarkStart w:id="43" w:name="P43"/>
    <w:bookmarkEnd w:id="43"/>
    <w:p>
      <w:pPr>
        <w:pStyle w:val="2"/>
        <w:jc w:val="center"/>
      </w:pPr>
      <w:r>
        <w:rPr>
          <w:sz w:val="20"/>
        </w:rPr>
        <w:t xml:space="preserve">ПОЛОЖЕНИЕ</w:t>
      </w:r>
    </w:p>
    <w:p>
      <w:pPr>
        <w:pStyle w:val="2"/>
        <w:jc w:val="center"/>
      </w:pPr>
      <w:r>
        <w:rPr>
          <w:sz w:val="20"/>
        </w:rPr>
        <w:t xml:space="preserve">О КОМИССИИ ВОРОНЕЖСКОЙ ОБЛАСТИ ПО УСТАНОВЛЕНИЮ</w:t>
      </w:r>
    </w:p>
    <w:p>
      <w:pPr>
        <w:pStyle w:val="2"/>
        <w:jc w:val="center"/>
      </w:pPr>
      <w:r>
        <w:rPr>
          <w:sz w:val="20"/>
        </w:rPr>
        <w:t xml:space="preserve">ПРИЧИННО-СЛЕДСТВЕННОЙ СВЯЗИ МЕЖДУ ПОЛУЧЕНИЕМ ВРЕДА ЖИЗНИ</w:t>
      </w:r>
    </w:p>
    <w:p>
      <w:pPr>
        <w:pStyle w:val="2"/>
        <w:jc w:val="center"/>
      </w:pPr>
      <w:r>
        <w:rPr>
          <w:sz w:val="20"/>
        </w:rPr>
        <w:t xml:space="preserve">ИЛИ ЗДОРОВЬЮ ДОБРОВОЛЬЦА (ВОЛОНТЕРА) И ОСУЩЕСТВЛЕНИЕМ</w:t>
      </w:r>
    </w:p>
    <w:p>
      <w:pPr>
        <w:pStyle w:val="2"/>
        <w:jc w:val="center"/>
      </w:pPr>
      <w:r>
        <w:rPr>
          <w:sz w:val="20"/>
        </w:rPr>
        <w:t xml:space="preserve">ИМ ВИДА ДОБРОВОЛЬЧЕСКОЙ (ВОЛОНТЕРСКОЙ) ДЕЯТЕЛЬНОСТИ,</w:t>
      </w:r>
    </w:p>
    <w:p>
      <w:pPr>
        <w:pStyle w:val="2"/>
        <w:jc w:val="center"/>
      </w:pPr>
      <w:r>
        <w:rPr>
          <w:sz w:val="20"/>
        </w:rPr>
        <w:t xml:space="preserve">А ТАКЖЕ ПРИЧИННО-СЛЕДСТВЕННОЙ СВЯЗИ МЕЖДУ СМЕРТЬЮ (ГИБЕЛЬЮ)</w:t>
      </w:r>
    </w:p>
    <w:p>
      <w:pPr>
        <w:pStyle w:val="2"/>
        <w:jc w:val="center"/>
      </w:pPr>
      <w:r>
        <w:rPr>
          <w:sz w:val="20"/>
        </w:rPr>
        <w:t xml:space="preserve">ДОБРОВОЛЬЦА (ВОЛОНТЕРА) И ВРЕДОМ ЖИЗНИ ИЛИ ЗДОРОВЬЮ</w:t>
      </w:r>
    </w:p>
    <w:p>
      <w:pPr>
        <w:pStyle w:val="2"/>
        <w:jc w:val="center"/>
      </w:pPr>
      <w:r>
        <w:rPr>
          <w:sz w:val="20"/>
        </w:rPr>
        <w:t xml:space="preserve">ДОБРОВОЛЬЦА (ВОЛОНТЕРА), ПОЛУЧЕННЫМ ДОБРОВОЛЬЦЕМ</w:t>
      </w:r>
    </w:p>
    <w:p>
      <w:pPr>
        <w:pStyle w:val="2"/>
        <w:jc w:val="center"/>
      </w:pPr>
      <w:r>
        <w:rPr>
          <w:sz w:val="20"/>
        </w:rPr>
        <w:t xml:space="preserve">(ВОЛОНТЕРОМ) ПРИ ОСУЩЕСТВЛЕНИИ ИМ ДОБРОВОЛЬЧЕСКОЙ</w:t>
      </w:r>
    </w:p>
    <w:p>
      <w:pPr>
        <w:pStyle w:val="2"/>
        <w:jc w:val="center"/>
      </w:pPr>
      <w:r>
        <w:rPr>
          <w:sz w:val="20"/>
        </w:rPr>
        <w:t xml:space="preserve">(ВОЛОНТЕРСКОЙ) ДЕЯТЕЛЬНОСТИ, В СЛУЧАЕ ЕСЛИ СМЕРТЬ (ГИБЕЛЬ)</w:t>
      </w:r>
    </w:p>
    <w:p>
      <w:pPr>
        <w:pStyle w:val="2"/>
        <w:jc w:val="center"/>
      </w:pPr>
      <w:r>
        <w:rPr>
          <w:sz w:val="20"/>
        </w:rPr>
        <w:t xml:space="preserve">ДОБРОВОЛЬЦА (ВОЛОНТЕРА) НАСТУПИЛА ДО ИСТЕЧЕНИЯ ОДНОГО ГОДА</w:t>
      </w:r>
    </w:p>
    <w:p>
      <w:pPr>
        <w:pStyle w:val="2"/>
        <w:jc w:val="center"/>
      </w:pPr>
      <w:r>
        <w:rPr>
          <w:sz w:val="20"/>
        </w:rPr>
        <w:t xml:space="preserve">СО ДНЯ ПОЛУЧЕНИЯ ВРЕДА ЖИЗНИ ИЛИ ЗДОРОВЬЮ ДОБРОВОЛЬЦА</w:t>
      </w:r>
    </w:p>
    <w:p>
      <w:pPr>
        <w:pStyle w:val="2"/>
        <w:jc w:val="center"/>
      </w:pPr>
      <w:r>
        <w:rPr>
          <w:sz w:val="20"/>
        </w:rPr>
        <w:t xml:space="preserve">(ВОЛОНТЕРА), ПОЛУЧЕННОГО ДОБРОВОЛЬЦЕМ (ВОЛОНТЕРОМ)</w:t>
      </w:r>
    </w:p>
    <w:p>
      <w:pPr>
        <w:pStyle w:val="2"/>
        <w:jc w:val="center"/>
      </w:pPr>
      <w:r>
        <w:rPr>
          <w:sz w:val="20"/>
        </w:rPr>
        <w:t xml:space="preserve">ПРИ ОСУЩЕСТВЛЕНИИ ИМ ДОБРОВОЛЬЧЕСКОЙ (ВОЛОНТЕРСКОЙ)</w:t>
      </w:r>
    </w:p>
    <w:p>
      <w:pPr>
        <w:pStyle w:val="2"/>
        <w:jc w:val="center"/>
      </w:pPr>
      <w:r>
        <w:rPr>
          <w:sz w:val="20"/>
        </w:rPr>
        <w:t xml:space="preserve">ДЕЯТЕЛЬНОСТИ</w:t>
      </w:r>
    </w:p>
    <w:p>
      <w:pPr>
        <w:pStyle w:val="0"/>
        <w:jc w:val="both"/>
      </w:pPr>
      <w:r>
        <w:rPr>
          <w:sz w:val="20"/>
        </w:rPr>
      </w:r>
    </w:p>
    <w:p>
      <w:pPr>
        <w:pStyle w:val="0"/>
        <w:ind w:firstLine="540"/>
        <w:jc w:val="both"/>
      </w:pPr>
      <w:r>
        <w:rPr>
          <w:sz w:val="20"/>
        </w:rPr>
        <w:t xml:space="preserve">1. Настоящее Положение определяет порядок работы комиссии Воронежской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(далее соответственно - Положение, комиссия, причинно-следственная связь).</w:t>
      </w:r>
    </w:p>
    <w:p>
      <w:pPr>
        <w:pStyle w:val="0"/>
        <w:spacing w:before="200" w:lineRule="auto"/>
        <w:ind w:firstLine="540"/>
        <w:jc w:val="both"/>
      </w:pPr>
      <w:r>
        <w:rPr>
          <w:sz w:val="20"/>
        </w:rPr>
        <w:t xml:space="preserve">2. Комиссия руководствуется в своей деятельности </w:t>
      </w:r>
      <w:hyperlink w:history="0"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Воронежской области, настоящим Положением.</w:t>
      </w:r>
    </w:p>
    <w:p>
      <w:pPr>
        <w:pStyle w:val="0"/>
        <w:spacing w:before="200" w:lineRule="auto"/>
        <w:ind w:firstLine="540"/>
        <w:jc w:val="both"/>
      </w:pPr>
      <w:r>
        <w:rPr>
          <w:sz w:val="20"/>
        </w:rPr>
        <w:t xml:space="preserve">3. Комиссия осуществляет свою деятельность во взаимодействии с федеральными органами исполнительной власти, федеральными государственными органами, органами государственной власти Воронежской области, органами местного самоуправления Воронежской области, иными органами и организациями (далее - органы и организации).</w:t>
      </w:r>
    </w:p>
    <w:p>
      <w:pPr>
        <w:pStyle w:val="0"/>
        <w:spacing w:before="200" w:lineRule="auto"/>
        <w:ind w:firstLine="540"/>
        <w:jc w:val="both"/>
      </w:pPr>
      <w:r>
        <w:rPr>
          <w:sz w:val="20"/>
        </w:rPr>
        <w:t xml:space="preserve">4. Организационное, правовое и материально-техническое обеспечение деятельности комиссии осуществляет управление молодежной политики Воронежской области.</w:t>
      </w:r>
    </w:p>
    <w:p>
      <w:pPr>
        <w:pStyle w:val="0"/>
        <w:spacing w:before="200" w:lineRule="auto"/>
        <w:ind w:firstLine="540"/>
        <w:jc w:val="both"/>
      </w:pPr>
      <w:r>
        <w:rPr>
          <w:sz w:val="20"/>
        </w:rPr>
        <w:t xml:space="preserve">5. Комиссия осуществляет рассмотрение ходатайства об установлении причинно-следственной связи и приложенных к нему документов, указанных в </w:t>
      </w:r>
      <w:hyperlink w:history="0" r:id="rId10"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пункте 11</w:t>
        </w:r>
      </w:hyperlink>
      <w:r>
        <w:rPr>
          <w:sz w:val="20"/>
        </w:rPr>
        <w:t xml:space="preserve"> Правил установления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случае если смерть (гибель) добровольца (волонтера) наступила до истечения одного года со дня получения вреда жизни или здоровью добровольца (волонтера), полученного добровольцем (волонтером) при осуществлении им добровольческой (волонтерской) деятельности, являющихся приложением N 1 к Правилам назначения и выплаты компенсации, предусмотренной </w:t>
      </w:r>
      <w:hyperlink w:history="0" r:id="rId11" w:tooltip="Федеральный закон от 11.08.1995 N 135-ФЗ (ред. от 31.07.2025) &quot;О благотворительной деятельности и добровольчестве (волонтерстве)&quot; ------------ Недействующая редакция {КонсультантПлюс}">
        <w:r>
          <w:rPr>
            <w:sz w:val="20"/>
            <w:color w:val="0000ff"/>
          </w:rPr>
          <w:t xml:space="preserve">пунктом 1.1 статьи 17.1</w:t>
        </w:r>
      </w:hyperlink>
      <w:r>
        <w:rPr>
          <w:sz w:val="20"/>
        </w:rPr>
        <w:t xml:space="preserve"> Федерального закона "О благотворительной деятельности и добровольчестве (волонтерстве)", утвержденным Постановлением Правительства Российской Федерации от 07.03.2023 N 356 "Об утверждении Правил назначения и выплаты компенсации, предусмотренной пунктом 1.1 статьи 17.1 Федерального закона "О благотворительной деятельности и добровольчестве (волонтерстве)" (далее соответственно - Правила установления причинно-следственной связи, ходатайство и документы).</w:t>
      </w:r>
    </w:p>
    <w:p>
      <w:pPr>
        <w:pStyle w:val="0"/>
        <w:spacing w:before="200" w:lineRule="auto"/>
        <w:ind w:firstLine="540"/>
        <w:jc w:val="both"/>
      </w:pPr>
      <w:r>
        <w:rPr>
          <w:sz w:val="20"/>
        </w:rPr>
        <w:t xml:space="preserve">6. В целях обеспечения своих функций комиссия вправе:</w:t>
      </w:r>
    </w:p>
    <w:p>
      <w:pPr>
        <w:pStyle w:val="0"/>
        <w:spacing w:before="200" w:lineRule="auto"/>
        <w:ind w:firstLine="540"/>
        <w:jc w:val="both"/>
      </w:pPr>
      <w:r>
        <w:rPr>
          <w:sz w:val="20"/>
        </w:rPr>
        <w:t xml:space="preserve">а) запрашивать и получать в установленном порядке необходимые материалы и информацию от органов и организаций путем направления запросов;</w:t>
      </w:r>
    </w:p>
    <w:p>
      <w:pPr>
        <w:pStyle w:val="0"/>
        <w:spacing w:before="200" w:lineRule="auto"/>
        <w:ind w:firstLine="540"/>
        <w:jc w:val="both"/>
      </w:pPr>
      <w:r>
        <w:rPr>
          <w:sz w:val="20"/>
        </w:rPr>
        <w:t xml:space="preserve">б) пользоваться государственными информационными системами в случаях и порядке, которые предусмотрены законодательством Российской Федерации;</w:t>
      </w:r>
    </w:p>
    <w:p>
      <w:pPr>
        <w:pStyle w:val="0"/>
        <w:spacing w:before="200" w:lineRule="auto"/>
        <w:ind w:firstLine="540"/>
        <w:jc w:val="both"/>
      </w:pPr>
      <w:r>
        <w:rPr>
          <w:sz w:val="20"/>
        </w:rPr>
        <w:t xml:space="preserve">в) приглашать для участия в работе должностных лиц и специалистов (экспертов) органов и организаций, не входящих в состав комиссии.</w:t>
      </w:r>
    </w:p>
    <w:p>
      <w:pPr>
        <w:pStyle w:val="0"/>
        <w:spacing w:before="200" w:lineRule="auto"/>
        <w:ind w:firstLine="540"/>
        <w:jc w:val="both"/>
      </w:pPr>
      <w:r>
        <w:rPr>
          <w:sz w:val="20"/>
        </w:rPr>
        <w:t xml:space="preserve">7. Комиссия состоит из председателя комиссии, заместителя председателя комиссии, ответственного секретаря комиссии и иных членов комиссии. В состав комиссии должно входить нечетное количество членов (не менее 7 человек).</w:t>
      </w:r>
    </w:p>
    <w:p>
      <w:pPr>
        <w:pStyle w:val="0"/>
        <w:spacing w:before="200" w:lineRule="auto"/>
        <w:ind w:firstLine="540"/>
        <w:jc w:val="both"/>
      </w:pPr>
      <w:r>
        <w:rPr>
          <w:sz w:val="20"/>
        </w:rPr>
        <w:t xml:space="preserve">8. Запросы комиссии о представлении необходимых материалов и информации подписываются председателем комиссии или его заместителем. Срок рассмотрения таких запросов органами и организациями не должен превышать 5 календарных дней с даты регистрации запросов комиссии.</w:t>
      </w:r>
    </w:p>
    <w:p>
      <w:pPr>
        <w:pStyle w:val="0"/>
        <w:spacing w:before="200" w:lineRule="auto"/>
        <w:ind w:firstLine="540"/>
        <w:jc w:val="both"/>
      </w:pPr>
      <w:r>
        <w:rPr>
          <w:sz w:val="20"/>
        </w:rPr>
        <w:t xml:space="preserve">9. Председатель комиссии:</w:t>
      </w:r>
    </w:p>
    <w:p>
      <w:pPr>
        <w:pStyle w:val="0"/>
        <w:spacing w:before="200" w:lineRule="auto"/>
        <w:ind w:firstLine="540"/>
        <w:jc w:val="both"/>
      </w:pPr>
      <w:r>
        <w:rPr>
          <w:sz w:val="20"/>
        </w:rPr>
        <w:t xml:space="preserve">а) организует работу комиссии, принимает решение о созыве заседания комиссии;</w:t>
      </w:r>
    </w:p>
    <w:p>
      <w:pPr>
        <w:pStyle w:val="0"/>
        <w:spacing w:before="200" w:lineRule="auto"/>
        <w:ind w:firstLine="540"/>
        <w:jc w:val="both"/>
      </w:pPr>
      <w:r>
        <w:rPr>
          <w:sz w:val="20"/>
        </w:rPr>
        <w:t xml:space="preserve">б) председательствует на заседаниях комиссии;</w:t>
      </w:r>
    </w:p>
    <w:p>
      <w:pPr>
        <w:pStyle w:val="0"/>
        <w:spacing w:before="200" w:lineRule="auto"/>
        <w:ind w:firstLine="540"/>
        <w:jc w:val="both"/>
      </w:pPr>
      <w:r>
        <w:rPr>
          <w:sz w:val="20"/>
        </w:rPr>
        <w:t xml:space="preserve">в) утверждает повестку заседания комиссии;</w:t>
      </w:r>
    </w:p>
    <w:p>
      <w:pPr>
        <w:pStyle w:val="0"/>
        <w:spacing w:before="200" w:lineRule="auto"/>
        <w:ind w:firstLine="540"/>
        <w:jc w:val="both"/>
      </w:pPr>
      <w:r>
        <w:rPr>
          <w:sz w:val="20"/>
        </w:rPr>
        <w:t xml:space="preserve">г) определяет дату, время и место проведения заседания комиссии;</w:t>
      </w:r>
    </w:p>
    <w:p>
      <w:pPr>
        <w:pStyle w:val="0"/>
        <w:spacing w:before="200" w:lineRule="auto"/>
        <w:ind w:firstLine="540"/>
        <w:jc w:val="both"/>
      </w:pPr>
      <w:r>
        <w:rPr>
          <w:sz w:val="20"/>
        </w:rPr>
        <w:t xml:space="preserve">д) дает поручения заместителю председателя комиссии, ответственному секретарю комиссии, иным членам комиссии и контролирует их исполнение;</w:t>
      </w:r>
    </w:p>
    <w:p>
      <w:pPr>
        <w:pStyle w:val="0"/>
        <w:spacing w:before="200" w:lineRule="auto"/>
        <w:ind w:firstLine="540"/>
        <w:jc w:val="both"/>
      </w:pPr>
      <w:r>
        <w:rPr>
          <w:sz w:val="20"/>
        </w:rPr>
        <w:t xml:space="preserve">е) подписывает протокол заседания комиссии и заключение о причинно-следственной связи.</w:t>
      </w:r>
    </w:p>
    <w:p>
      <w:pPr>
        <w:pStyle w:val="0"/>
        <w:spacing w:before="200" w:lineRule="auto"/>
        <w:ind w:firstLine="540"/>
        <w:jc w:val="both"/>
      </w:pPr>
      <w:r>
        <w:rPr>
          <w:sz w:val="20"/>
        </w:rPr>
        <w:t xml:space="preserve">В период временного отсутствия председателя комиссии его полномочия исполняет заместитель председателя комиссии.</w:t>
      </w:r>
    </w:p>
    <w:p>
      <w:pPr>
        <w:pStyle w:val="0"/>
        <w:spacing w:before="200" w:lineRule="auto"/>
        <w:ind w:firstLine="540"/>
        <w:jc w:val="both"/>
      </w:pPr>
      <w:r>
        <w:rPr>
          <w:sz w:val="20"/>
        </w:rPr>
        <w:t xml:space="preserve">10. Ответственный секретарь комиссии осуществляет подготовку и организацию созыва заседаний комиссии, контроль за исполнением решений, принятых комиссией, а также решение текущих вопросов ее деятельности, в том числе:</w:t>
      </w:r>
    </w:p>
    <w:p>
      <w:pPr>
        <w:pStyle w:val="0"/>
        <w:spacing w:before="200" w:lineRule="auto"/>
        <w:ind w:firstLine="540"/>
        <w:jc w:val="both"/>
      </w:pPr>
      <w:r>
        <w:rPr>
          <w:sz w:val="20"/>
        </w:rPr>
        <w:t xml:space="preserve">а) регистрирует ходатайства и документы, поступившие в комиссию;</w:t>
      </w:r>
    </w:p>
    <w:p>
      <w:pPr>
        <w:pStyle w:val="0"/>
        <w:spacing w:before="200" w:lineRule="auto"/>
        <w:ind w:firstLine="540"/>
        <w:jc w:val="both"/>
      </w:pPr>
      <w:r>
        <w:rPr>
          <w:sz w:val="20"/>
        </w:rPr>
        <w:t xml:space="preserve">б) формирует проект повестки заседания комиссии, обеспечивает подготовку необходимых материалов к заседанию комиссии, формирует проект решения комиссии;</w:t>
      </w:r>
    </w:p>
    <w:p>
      <w:pPr>
        <w:pStyle w:val="0"/>
        <w:spacing w:before="200" w:lineRule="auto"/>
        <w:ind w:firstLine="540"/>
        <w:jc w:val="both"/>
      </w:pPr>
      <w:r>
        <w:rPr>
          <w:sz w:val="20"/>
        </w:rPr>
        <w:t xml:space="preserve">в) информирует членов комиссии и иных приглашенных на заседание комиссии лиц о дате, времени, месте проведения и повестке заседания комиссии, обеспечивает их необходимыми материалами;</w:t>
      </w:r>
    </w:p>
    <w:p>
      <w:pPr>
        <w:pStyle w:val="0"/>
        <w:spacing w:before="200" w:lineRule="auto"/>
        <w:ind w:firstLine="540"/>
        <w:jc w:val="both"/>
      </w:pPr>
      <w:r>
        <w:rPr>
          <w:sz w:val="20"/>
        </w:rPr>
        <w:t xml:space="preserve">г) оформляет и подписывает протокол заседания комиссии;</w:t>
      </w:r>
    </w:p>
    <w:p>
      <w:pPr>
        <w:pStyle w:val="0"/>
        <w:spacing w:before="200" w:lineRule="auto"/>
        <w:ind w:firstLine="540"/>
        <w:jc w:val="both"/>
      </w:pPr>
      <w:r>
        <w:rPr>
          <w:sz w:val="20"/>
        </w:rPr>
        <w:t xml:space="preserve">д) организует выполнение поручений председателя комиссии, данных по результатам заседания комиссии;</w:t>
      </w:r>
    </w:p>
    <w:p>
      <w:pPr>
        <w:pStyle w:val="0"/>
        <w:spacing w:before="200" w:lineRule="auto"/>
        <w:ind w:firstLine="540"/>
        <w:jc w:val="both"/>
      </w:pPr>
      <w:r>
        <w:rPr>
          <w:sz w:val="20"/>
        </w:rPr>
        <w:t xml:space="preserve">е) обеспечивает направление подписанного заключения комиссии о причинно-следственной связи в Федеральное агентство по делам молодежи.</w:t>
      </w:r>
    </w:p>
    <w:p>
      <w:pPr>
        <w:pStyle w:val="0"/>
        <w:spacing w:before="200" w:lineRule="auto"/>
        <w:ind w:firstLine="540"/>
        <w:jc w:val="both"/>
      </w:pPr>
      <w:r>
        <w:rPr>
          <w:sz w:val="20"/>
        </w:rPr>
        <w:t xml:space="preserve">11. Члены комиссии осуществляют свою деятельность на безвозмездной основе, обладают равными правами при обсуждении рассматриваемых на заседании вопросов и не вправе разглашать сведения, ставшие им известными в ходе работы комиссии.</w:t>
      </w:r>
    </w:p>
    <w:p>
      <w:pPr>
        <w:pStyle w:val="0"/>
        <w:spacing w:before="200" w:lineRule="auto"/>
        <w:ind w:firstLine="540"/>
        <w:jc w:val="both"/>
      </w:pPr>
      <w:r>
        <w:rPr>
          <w:sz w:val="20"/>
        </w:rPr>
        <w:t xml:space="preserve">При невозможности присутствия на заседании комиссии члены комиссии обязаны заблаговременно известить об этом председателя комиссии и представить на его имя письменное мнение по вопросам повестки заседания комиссии.</w:t>
      </w:r>
    </w:p>
    <w:p>
      <w:pPr>
        <w:pStyle w:val="0"/>
        <w:spacing w:before="200" w:lineRule="auto"/>
        <w:ind w:firstLine="540"/>
        <w:jc w:val="both"/>
      </w:pPr>
      <w:r>
        <w:rPr>
          <w:sz w:val="20"/>
        </w:rPr>
        <w:t xml:space="preserve">12. Регистрация ходатайства и документов осуществляется ответственным секретарем в течение 2 рабочих дней со дня их поступления в комиссию.</w:t>
      </w:r>
    </w:p>
    <w:p>
      <w:pPr>
        <w:pStyle w:val="0"/>
        <w:spacing w:before="200" w:lineRule="auto"/>
        <w:ind w:firstLine="540"/>
        <w:jc w:val="both"/>
      </w:pPr>
      <w:r>
        <w:rPr>
          <w:sz w:val="20"/>
        </w:rPr>
        <w:t xml:space="preserve">Срок рассмотрения комиссией ходатайства и документов не должен превышать 15 календарных дней с даты поступления ходатайства.</w:t>
      </w:r>
    </w:p>
    <w:p>
      <w:pPr>
        <w:pStyle w:val="0"/>
        <w:spacing w:before="200" w:lineRule="auto"/>
        <w:ind w:firstLine="540"/>
        <w:jc w:val="both"/>
      </w:pPr>
      <w:r>
        <w:rPr>
          <w:sz w:val="20"/>
        </w:rPr>
        <w:t xml:space="preserve">Заседание комиссии считается правомочным, если на нем присутствуют не менее половины ее членов.</w:t>
      </w:r>
    </w:p>
    <w:p>
      <w:pPr>
        <w:pStyle w:val="0"/>
        <w:spacing w:before="200" w:lineRule="auto"/>
        <w:ind w:firstLine="540"/>
        <w:jc w:val="both"/>
      </w:pPr>
      <w:r>
        <w:rPr>
          <w:sz w:val="20"/>
        </w:rPr>
        <w:t xml:space="preserve">13. Решения комиссии принимаются большинством голосов присутствующих на заседании членов комиссии с учетом представленного письменного мнения отсутствующих членов комиссии.</w:t>
      </w:r>
    </w:p>
    <w:p>
      <w:pPr>
        <w:pStyle w:val="0"/>
        <w:spacing w:before="200" w:lineRule="auto"/>
        <w:ind w:firstLine="540"/>
        <w:jc w:val="both"/>
      </w:pPr>
      <w:r>
        <w:rPr>
          <w:sz w:val="20"/>
        </w:rPr>
        <w:t xml:space="preserve">14. Результаты рассмотрения комиссией ходатайства и документов оформляются:</w:t>
      </w:r>
    </w:p>
    <w:p>
      <w:pPr>
        <w:pStyle w:val="0"/>
        <w:spacing w:before="200" w:lineRule="auto"/>
        <w:ind w:firstLine="540"/>
        <w:jc w:val="both"/>
      </w:pPr>
      <w:r>
        <w:rPr>
          <w:sz w:val="20"/>
        </w:rPr>
        <w:t xml:space="preserve">протоколом, содержащим принятые решения, который подписывается председателем комиссии (его заместителем при отсутствии председателя комиссии) и всеми членами комиссии;</w:t>
      </w:r>
    </w:p>
    <w:p>
      <w:pPr>
        <w:pStyle w:val="0"/>
        <w:spacing w:before="200" w:lineRule="auto"/>
        <w:ind w:firstLine="540"/>
        <w:jc w:val="both"/>
      </w:pPr>
      <w:hyperlink w:history="0" r:id="rId12" w:tooltip="Постановление Правительства РФ от 07.03.2023 N 356 &quot;Об утверждении Правил назначения и выплаты компенсации, предусмотренной пунктом 1.1 статьи 17.1 Федерального закона &quot;О благотворительной деятельности и добровольчестве (волонтерстве)&quot; ------------ Недействующая редакция {КонсультантПлюс}">
        <w:r>
          <w:rPr>
            <w:sz w:val="20"/>
            <w:color w:val="0000ff"/>
          </w:rPr>
          <w:t xml:space="preserve">заключением</w:t>
        </w:r>
      </w:hyperlink>
      <w:r>
        <w:rPr>
          <w:sz w:val="20"/>
        </w:rPr>
        <w:t xml:space="preserve"> о причинно-следственной связи по форме, предусмотренной приложением N 2 к Правилам установления причинно-следственной связи, которое подписывается председателем комиссии (его заместителем при отсутствии председателя комиссии).</w:t>
      </w:r>
    </w:p>
    <w:p>
      <w:pPr>
        <w:pStyle w:val="0"/>
        <w:spacing w:before="200" w:lineRule="auto"/>
        <w:ind w:firstLine="540"/>
        <w:jc w:val="both"/>
      </w:pPr>
      <w:r>
        <w:rPr>
          <w:sz w:val="20"/>
        </w:rPr>
        <w:t xml:space="preserve">15. Подписанное заключение о причинно-следственной связи направляется в Федеральное агентство по делам молодежи не позднее 3-го рабочего дня с даты проведения заседания комиссии и подписания заключения о причинно-следственной связи.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both"/>
      </w:pPr>
      <w:r>
        <w:rPr>
          <w:sz w:val="20"/>
        </w:rPr>
      </w:r>
    </w:p>
    <w:p>
      <w:pPr>
        <w:pStyle w:val="0"/>
        <w:jc w:val="right"/>
      </w:pPr>
      <w:r>
        <w:rPr>
          <w:sz w:val="20"/>
        </w:rPr>
        <w:t xml:space="preserve">Утвержден</w:t>
      </w:r>
    </w:p>
    <w:p>
      <w:pPr>
        <w:pStyle w:val="0"/>
        <w:jc w:val="right"/>
      </w:pPr>
      <w:r>
        <w:rPr>
          <w:sz w:val="20"/>
        </w:rPr>
        <w:t xml:space="preserve">указом</w:t>
      </w:r>
    </w:p>
    <w:p>
      <w:pPr>
        <w:pStyle w:val="0"/>
        <w:jc w:val="right"/>
      </w:pPr>
      <w:r>
        <w:rPr>
          <w:sz w:val="20"/>
        </w:rPr>
        <w:t xml:space="preserve">Губернатора Воронежской области</w:t>
      </w:r>
    </w:p>
    <w:p>
      <w:pPr>
        <w:pStyle w:val="0"/>
        <w:jc w:val="right"/>
      </w:pPr>
      <w:r>
        <w:rPr>
          <w:sz w:val="20"/>
        </w:rPr>
        <w:t xml:space="preserve">от 04.09.2025 N 174-у</w:t>
      </w:r>
    </w:p>
    <w:p>
      <w:pPr>
        <w:pStyle w:val="0"/>
        <w:jc w:val="both"/>
      </w:pPr>
      <w:r>
        <w:rPr>
          <w:sz w:val="20"/>
        </w:rPr>
      </w:r>
    </w:p>
    <w:bookmarkStart w:id="107" w:name="P107"/>
    <w:bookmarkEnd w:id="107"/>
    <w:p>
      <w:pPr>
        <w:pStyle w:val="2"/>
        <w:jc w:val="center"/>
      </w:pPr>
      <w:r>
        <w:rPr>
          <w:sz w:val="20"/>
        </w:rPr>
        <w:t xml:space="preserve">СОСТАВ</w:t>
      </w:r>
    </w:p>
    <w:p>
      <w:pPr>
        <w:pStyle w:val="2"/>
        <w:jc w:val="center"/>
      </w:pPr>
      <w:r>
        <w:rPr>
          <w:sz w:val="20"/>
        </w:rPr>
        <w:t xml:space="preserve">КОМИССИИ ВОРОНЕЖСКОЙ ОБЛАСТИ ПО УСТАНОВЛЕНИЮ</w:t>
      </w:r>
    </w:p>
    <w:p>
      <w:pPr>
        <w:pStyle w:val="2"/>
        <w:jc w:val="center"/>
      </w:pPr>
      <w:r>
        <w:rPr>
          <w:sz w:val="20"/>
        </w:rPr>
        <w:t xml:space="preserve">ПРИЧИННО-СЛЕДСТВЕННОЙ СВЯЗИ МЕЖДУ ПОЛУЧЕНИЕМ ВРЕДА ЖИЗНИ</w:t>
      </w:r>
    </w:p>
    <w:p>
      <w:pPr>
        <w:pStyle w:val="2"/>
        <w:jc w:val="center"/>
      </w:pPr>
      <w:r>
        <w:rPr>
          <w:sz w:val="20"/>
        </w:rPr>
        <w:t xml:space="preserve">ИЛИ ЗДОРОВЬЮ ДОБРОВОЛЬЦА (ВОЛОНТЕРА) И ОСУЩЕСТВЛЕНИЕМ</w:t>
      </w:r>
    </w:p>
    <w:p>
      <w:pPr>
        <w:pStyle w:val="2"/>
        <w:jc w:val="center"/>
      </w:pPr>
      <w:r>
        <w:rPr>
          <w:sz w:val="20"/>
        </w:rPr>
        <w:t xml:space="preserve">ИМ ВИДА ДОБРОВОЛЬЧЕСКОЙ (ВОЛОНТЕРСКОЙ) ДЕЯТЕЛЬНОСТИ,</w:t>
      </w:r>
    </w:p>
    <w:p>
      <w:pPr>
        <w:pStyle w:val="2"/>
        <w:jc w:val="center"/>
      </w:pPr>
      <w:r>
        <w:rPr>
          <w:sz w:val="20"/>
        </w:rPr>
        <w:t xml:space="preserve">А ТАКЖЕ ПРИЧИННО-СЛЕДСТВЕННОЙ СВЯЗИ МЕЖДУ СМЕРТЬЮ (ГИБЕЛЬЮ)</w:t>
      </w:r>
    </w:p>
    <w:p>
      <w:pPr>
        <w:pStyle w:val="2"/>
        <w:jc w:val="center"/>
      </w:pPr>
      <w:r>
        <w:rPr>
          <w:sz w:val="20"/>
        </w:rPr>
        <w:t xml:space="preserve">ДОБРОВОЛЬЦА (ВОЛОНТЕРА) И ВРЕДОМ ЖИЗНИ ИЛИ ЗДОРОВЬЮ</w:t>
      </w:r>
    </w:p>
    <w:p>
      <w:pPr>
        <w:pStyle w:val="2"/>
        <w:jc w:val="center"/>
      </w:pPr>
      <w:r>
        <w:rPr>
          <w:sz w:val="20"/>
        </w:rPr>
        <w:t xml:space="preserve">ДОБРОВОЛЬЦА (ВОЛОНТЕРА), ПОЛУЧЕННЫМ ДОБРОВОЛЬЦЕМ</w:t>
      </w:r>
    </w:p>
    <w:p>
      <w:pPr>
        <w:pStyle w:val="2"/>
        <w:jc w:val="center"/>
      </w:pPr>
      <w:r>
        <w:rPr>
          <w:sz w:val="20"/>
        </w:rPr>
        <w:t xml:space="preserve">(ВОЛОНТЕРОМ) ПРИ ОСУЩЕСТВЛЕНИИ ИМ ДОБРОВОЛЬЧЕСКОЙ</w:t>
      </w:r>
    </w:p>
    <w:p>
      <w:pPr>
        <w:pStyle w:val="2"/>
        <w:jc w:val="center"/>
      </w:pPr>
      <w:r>
        <w:rPr>
          <w:sz w:val="20"/>
        </w:rPr>
        <w:t xml:space="preserve">(ВОЛОНТЕРСКОЙ) ДЕЯТЕЛЬНОСТИ, В СЛУЧАЕ ЕСЛИ СМЕРТЬ (ГИБЕЛЬ)</w:t>
      </w:r>
    </w:p>
    <w:p>
      <w:pPr>
        <w:pStyle w:val="2"/>
        <w:jc w:val="center"/>
      </w:pPr>
      <w:r>
        <w:rPr>
          <w:sz w:val="20"/>
        </w:rPr>
        <w:t xml:space="preserve">ДОБРОВОЛЬЦА (ВОЛОНТЕРА) НАСТУПИЛА ДО ИСТЕЧЕНИЯ ОДНОГО ГОДА</w:t>
      </w:r>
    </w:p>
    <w:p>
      <w:pPr>
        <w:pStyle w:val="2"/>
        <w:jc w:val="center"/>
      </w:pPr>
      <w:r>
        <w:rPr>
          <w:sz w:val="20"/>
        </w:rPr>
        <w:t xml:space="preserve">СО ДНЯ ПОЛУЧЕНИЯ ВРЕДА ЖИЗНИ ИЛИ ЗДОРОВЬЮ ДОБРОВОЛЬЦА</w:t>
      </w:r>
    </w:p>
    <w:p>
      <w:pPr>
        <w:pStyle w:val="2"/>
        <w:jc w:val="center"/>
      </w:pPr>
      <w:r>
        <w:rPr>
          <w:sz w:val="20"/>
        </w:rPr>
        <w:t xml:space="preserve">(ВОЛОНТЕРА), ПОЛУЧЕННОГО ДОБРОВОЛЬЦЕМ (ВОЛОНТЕРОМ)</w:t>
      </w:r>
    </w:p>
    <w:p>
      <w:pPr>
        <w:pStyle w:val="2"/>
        <w:jc w:val="center"/>
      </w:pPr>
      <w:r>
        <w:rPr>
          <w:sz w:val="20"/>
        </w:rPr>
        <w:t xml:space="preserve">ПРИ ОСУЩЕСТВЛЕНИИ ИМ ДОБРОВОЛЬЧЕСКОЙ (ВОЛОНТЕРСКОЙ)</w:t>
      </w:r>
    </w:p>
    <w:p>
      <w:pPr>
        <w:pStyle w:val="2"/>
        <w:jc w:val="center"/>
      </w:pPr>
      <w:r>
        <w:rPr>
          <w:sz w:val="20"/>
        </w:rPr>
        <w:t xml:space="preserve">ДЕЯТЕЛЬНОСТИ</w:t>
      </w:r>
    </w:p>
    <w:p>
      <w:pPr>
        <w:pStyle w:val="0"/>
        <w:jc w:val="both"/>
      </w:pPr>
      <w:r>
        <w:rPr>
          <w:sz w:val="20"/>
        </w:rPr>
      </w:r>
    </w:p>
    <w:tbl>
      <w:tblPr>
        <w:tblInd w:w="0" w:type="dxa"/>
        <w:tblLayout w:type="fixed"/>
        <w:tblCellMar>
          <w:top w:w="102" w:type="dxa"/>
          <w:left w:w="62" w:type="dxa"/>
          <w:bottom w:w="102" w:type="dxa"/>
          <w:right w:w="62" w:type="dxa"/>
        </w:tblCellMar>
      </w:tblPr>
      <w:tblGrid>
        <w:gridCol w:w="2438"/>
        <w:gridCol w:w="6633"/>
      </w:tblGrid>
      <w:tr>
        <w:tc>
          <w:tcPr>
            <w:tcW w:w="2438" w:type="dxa"/>
            <w:tcBorders>
              <w:top w:val="nil"/>
              <w:left w:val="nil"/>
              <w:bottom w:val="nil"/>
              <w:right w:val="nil"/>
            </w:tcBorders>
          </w:tcPr>
          <w:p>
            <w:pPr>
              <w:pStyle w:val="0"/>
              <w:jc w:val="both"/>
            </w:pPr>
            <w:r>
              <w:rPr>
                <w:sz w:val="20"/>
              </w:rPr>
              <w:t xml:space="preserve">Маслов</w:t>
            </w:r>
          </w:p>
          <w:p>
            <w:pPr>
              <w:pStyle w:val="0"/>
              <w:jc w:val="both"/>
            </w:pPr>
            <w:r>
              <w:rPr>
                <w:sz w:val="20"/>
              </w:rPr>
              <w:t xml:space="preserve">Дмитрий Николаевич</w:t>
            </w:r>
          </w:p>
        </w:tc>
        <w:tc>
          <w:tcPr>
            <w:tcW w:w="6633" w:type="dxa"/>
            <w:tcBorders>
              <w:top w:val="nil"/>
              <w:left w:val="nil"/>
              <w:bottom w:val="nil"/>
              <w:right w:val="nil"/>
            </w:tcBorders>
          </w:tcPr>
          <w:p>
            <w:pPr>
              <w:pStyle w:val="0"/>
              <w:jc w:val="both"/>
            </w:pPr>
            <w:r>
              <w:rPr>
                <w:sz w:val="20"/>
              </w:rPr>
              <w:t xml:space="preserve">- заместитель Губернатора Воронежской области, председатель комиссии</w:t>
            </w:r>
          </w:p>
        </w:tc>
      </w:tr>
      <w:tr>
        <w:tc>
          <w:tcPr>
            <w:tcW w:w="2438" w:type="dxa"/>
            <w:tcBorders>
              <w:top w:val="nil"/>
              <w:left w:val="nil"/>
              <w:bottom w:val="nil"/>
              <w:right w:val="nil"/>
            </w:tcBorders>
          </w:tcPr>
          <w:p>
            <w:pPr>
              <w:pStyle w:val="0"/>
              <w:jc w:val="both"/>
            </w:pPr>
            <w:r>
              <w:rPr>
                <w:sz w:val="20"/>
              </w:rPr>
              <w:t xml:space="preserve">Афанасьев</w:t>
            </w:r>
          </w:p>
          <w:p>
            <w:pPr>
              <w:pStyle w:val="0"/>
              <w:jc w:val="both"/>
            </w:pPr>
            <w:r>
              <w:rPr>
                <w:sz w:val="20"/>
              </w:rPr>
              <w:t xml:space="preserve">Сергей Михайлович</w:t>
            </w:r>
          </w:p>
        </w:tc>
        <w:tc>
          <w:tcPr>
            <w:tcW w:w="6633" w:type="dxa"/>
            <w:tcBorders>
              <w:top w:val="nil"/>
              <w:left w:val="nil"/>
              <w:bottom w:val="nil"/>
              <w:right w:val="nil"/>
            </w:tcBorders>
          </w:tcPr>
          <w:p>
            <w:pPr>
              <w:pStyle w:val="0"/>
              <w:jc w:val="both"/>
            </w:pPr>
            <w:r>
              <w:rPr>
                <w:sz w:val="20"/>
              </w:rPr>
              <w:t xml:space="preserve">- руководитель управления молодежной политики Воронежской области, заместитель председателя комиссии</w:t>
            </w:r>
          </w:p>
        </w:tc>
      </w:tr>
      <w:tr>
        <w:tc>
          <w:tcPr>
            <w:tcW w:w="2438" w:type="dxa"/>
            <w:tcBorders>
              <w:top w:val="nil"/>
              <w:left w:val="nil"/>
              <w:bottom w:val="nil"/>
              <w:right w:val="nil"/>
            </w:tcBorders>
          </w:tcPr>
          <w:p>
            <w:pPr>
              <w:pStyle w:val="0"/>
              <w:jc w:val="both"/>
            </w:pPr>
            <w:r>
              <w:rPr>
                <w:sz w:val="20"/>
              </w:rPr>
              <w:t xml:space="preserve">Трегубова</w:t>
            </w:r>
          </w:p>
          <w:p>
            <w:pPr>
              <w:pStyle w:val="0"/>
              <w:jc w:val="both"/>
            </w:pPr>
            <w:r>
              <w:rPr>
                <w:sz w:val="20"/>
              </w:rPr>
              <w:t xml:space="preserve">Елена Сергеевна</w:t>
            </w:r>
          </w:p>
        </w:tc>
        <w:tc>
          <w:tcPr>
            <w:tcW w:w="6633" w:type="dxa"/>
            <w:tcBorders>
              <w:top w:val="nil"/>
              <w:left w:val="nil"/>
              <w:bottom w:val="nil"/>
              <w:right w:val="nil"/>
            </w:tcBorders>
          </w:tcPr>
          <w:p>
            <w:pPr>
              <w:pStyle w:val="0"/>
              <w:jc w:val="both"/>
            </w:pPr>
            <w:r>
              <w:rPr>
                <w:sz w:val="20"/>
              </w:rPr>
              <w:t xml:space="preserve">- заместитель руководителя управления молодежной политики Воронежской области, ответственный секретарь комиссии</w:t>
            </w:r>
          </w:p>
        </w:tc>
      </w:tr>
      <w:tr>
        <w:tc>
          <w:tcPr>
            <w:gridSpan w:val="2"/>
            <w:tcW w:w="9071" w:type="dxa"/>
            <w:tcBorders>
              <w:top w:val="nil"/>
              <w:left w:val="nil"/>
              <w:bottom w:val="nil"/>
              <w:right w:val="nil"/>
            </w:tcBorders>
          </w:tcPr>
          <w:p>
            <w:pPr>
              <w:pStyle w:val="0"/>
              <w:jc w:val="center"/>
            </w:pPr>
            <w:r>
              <w:rPr>
                <w:sz w:val="20"/>
              </w:rPr>
              <w:t xml:space="preserve">Члены комиссии:</w:t>
            </w:r>
          </w:p>
        </w:tc>
      </w:tr>
      <w:tr>
        <w:tc>
          <w:tcPr>
            <w:tcW w:w="2438" w:type="dxa"/>
            <w:tcBorders>
              <w:top w:val="nil"/>
              <w:left w:val="nil"/>
              <w:bottom w:val="nil"/>
              <w:right w:val="nil"/>
            </w:tcBorders>
          </w:tcPr>
          <w:p>
            <w:pPr>
              <w:pStyle w:val="0"/>
              <w:jc w:val="both"/>
            </w:pPr>
            <w:r>
              <w:rPr>
                <w:sz w:val="20"/>
              </w:rPr>
              <w:t xml:space="preserve">Мандрыкина</w:t>
            </w:r>
          </w:p>
          <w:p>
            <w:pPr>
              <w:pStyle w:val="0"/>
              <w:jc w:val="both"/>
            </w:pPr>
            <w:r>
              <w:rPr>
                <w:sz w:val="20"/>
              </w:rPr>
              <w:t xml:space="preserve">Майя Брониславовна</w:t>
            </w:r>
          </w:p>
        </w:tc>
        <w:tc>
          <w:tcPr>
            <w:tcW w:w="6633" w:type="dxa"/>
            <w:tcBorders>
              <w:top w:val="nil"/>
              <w:left w:val="nil"/>
              <w:bottom w:val="nil"/>
              <w:right w:val="nil"/>
            </w:tcBorders>
          </w:tcPr>
          <w:p>
            <w:pPr>
              <w:pStyle w:val="0"/>
              <w:jc w:val="both"/>
            </w:pPr>
            <w:r>
              <w:rPr>
                <w:sz w:val="20"/>
              </w:rPr>
              <w:t xml:space="preserve">- министр труда и занятости населения Воронежской области</w:t>
            </w:r>
          </w:p>
        </w:tc>
      </w:tr>
      <w:tr>
        <w:tc>
          <w:tcPr>
            <w:tcW w:w="2438" w:type="dxa"/>
            <w:tcBorders>
              <w:top w:val="nil"/>
              <w:left w:val="nil"/>
              <w:bottom w:val="nil"/>
              <w:right w:val="nil"/>
            </w:tcBorders>
          </w:tcPr>
          <w:p>
            <w:pPr>
              <w:pStyle w:val="0"/>
              <w:jc w:val="both"/>
            </w:pPr>
            <w:r>
              <w:rPr>
                <w:sz w:val="20"/>
              </w:rPr>
              <w:t xml:space="preserve">Власов</w:t>
            </w:r>
          </w:p>
          <w:p>
            <w:pPr>
              <w:pStyle w:val="0"/>
              <w:jc w:val="both"/>
            </w:pPr>
            <w:r>
              <w:rPr>
                <w:sz w:val="20"/>
              </w:rPr>
              <w:t xml:space="preserve">Сергей Иванович</w:t>
            </w:r>
          </w:p>
        </w:tc>
        <w:tc>
          <w:tcPr>
            <w:tcW w:w="6633" w:type="dxa"/>
            <w:tcBorders>
              <w:top w:val="nil"/>
              <w:left w:val="nil"/>
              <w:bottom w:val="nil"/>
              <w:right w:val="nil"/>
            </w:tcBorders>
          </w:tcPr>
          <w:p>
            <w:pPr>
              <w:pStyle w:val="0"/>
              <w:jc w:val="both"/>
            </w:pPr>
            <w:r>
              <w:rPr>
                <w:sz w:val="20"/>
              </w:rPr>
              <w:t xml:space="preserve">- первый заместитель министра физической культуры и спорта Воронежской области</w:t>
            </w:r>
          </w:p>
        </w:tc>
      </w:tr>
      <w:tr>
        <w:tc>
          <w:tcPr>
            <w:tcW w:w="2438" w:type="dxa"/>
            <w:tcBorders>
              <w:top w:val="nil"/>
              <w:left w:val="nil"/>
              <w:bottom w:val="nil"/>
              <w:right w:val="nil"/>
            </w:tcBorders>
          </w:tcPr>
          <w:p>
            <w:pPr>
              <w:pStyle w:val="0"/>
              <w:jc w:val="both"/>
            </w:pPr>
            <w:r>
              <w:rPr>
                <w:sz w:val="20"/>
              </w:rPr>
              <w:t xml:space="preserve">Плотников</w:t>
            </w:r>
          </w:p>
          <w:p>
            <w:pPr>
              <w:pStyle w:val="0"/>
              <w:jc w:val="both"/>
            </w:pPr>
            <w:r>
              <w:rPr>
                <w:sz w:val="20"/>
              </w:rPr>
              <w:t xml:space="preserve">Денис Геннадьевич</w:t>
            </w:r>
          </w:p>
        </w:tc>
        <w:tc>
          <w:tcPr>
            <w:tcW w:w="6633" w:type="dxa"/>
            <w:tcBorders>
              <w:top w:val="nil"/>
              <w:left w:val="nil"/>
              <w:bottom w:val="nil"/>
              <w:right w:val="nil"/>
            </w:tcBorders>
          </w:tcPr>
          <w:p>
            <w:pPr>
              <w:pStyle w:val="0"/>
              <w:jc w:val="both"/>
            </w:pPr>
            <w:r>
              <w:rPr>
                <w:sz w:val="20"/>
              </w:rPr>
              <w:t xml:space="preserve">- заместитель министра образования Воронежской области</w:t>
            </w:r>
          </w:p>
        </w:tc>
      </w:tr>
      <w:tr>
        <w:tc>
          <w:tcPr>
            <w:tcW w:w="2438" w:type="dxa"/>
            <w:tcBorders>
              <w:top w:val="nil"/>
              <w:left w:val="nil"/>
              <w:bottom w:val="nil"/>
              <w:right w:val="nil"/>
            </w:tcBorders>
          </w:tcPr>
          <w:p>
            <w:pPr>
              <w:pStyle w:val="0"/>
              <w:jc w:val="both"/>
            </w:pPr>
            <w:r>
              <w:rPr>
                <w:sz w:val="20"/>
              </w:rPr>
              <w:t xml:space="preserve">Нехаенко</w:t>
            </w:r>
          </w:p>
          <w:p>
            <w:pPr>
              <w:pStyle w:val="0"/>
              <w:jc w:val="both"/>
            </w:pPr>
            <w:r>
              <w:rPr>
                <w:sz w:val="20"/>
              </w:rPr>
              <w:t xml:space="preserve">Наталия Евгеньевна</w:t>
            </w:r>
          </w:p>
        </w:tc>
        <w:tc>
          <w:tcPr>
            <w:tcW w:w="6633" w:type="dxa"/>
            <w:tcBorders>
              <w:top w:val="nil"/>
              <w:left w:val="nil"/>
              <w:bottom w:val="nil"/>
              <w:right w:val="nil"/>
            </w:tcBorders>
          </w:tcPr>
          <w:p>
            <w:pPr>
              <w:pStyle w:val="0"/>
              <w:jc w:val="both"/>
            </w:pPr>
            <w:r>
              <w:rPr>
                <w:sz w:val="20"/>
              </w:rPr>
              <w:t xml:space="preserve">- заместитель министра здравоохранения Воронежской области</w:t>
            </w:r>
          </w:p>
        </w:tc>
      </w:tr>
      <w:tr>
        <w:tc>
          <w:tcPr>
            <w:tcW w:w="2438" w:type="dxa"/>
            <w:tcBorders>
              <w:top w:val="nil"/>
              <w:left w:val="nil"/>
              <w:bottom w:val="nil"/>
              <w:right w:val="nil"/>
            </w:tcBorders>
          </w:tcPr>
          <w:p>
            <w:pPr>
              <w:pStyle w:val="0"/>
              <w:jc w:val="both"/>
            </w:pPr>
            <w:r>
              <w:rPr>
                <w:sz w:val="20"/>
              </w:rPr>
              <w:t xml:space="preserve">Воронцова</w:t>
            </w:r>
          </w:p>
          <w:p>
            <w:pPr>
              <w:pStyle w:val="0"/>
              <w:jc w:val="both"/>
            </w:pPr>
            <w:r>
              <w:rPr>
                <w:sz w:val="20"/>
              </w:rPr>
              <w:t xml:space="preserve">Виктория Валериевна</w:t>
            </w:r>
          </w:p>
        </w:tc>
        <w:tc>
          <w:tcPr>
            <w:tcW w:w="6633" w:type="dxa"/>
            <w:tcBorders>
              <w:top w:val="nil"/>
              <w:left w:val="nil"/>
              <w:bottom w:val="nil"/>
              <w:right w:val="nil"/>
            </w:tcBorders>
          </w:tcPr>
          <w:p>
            <w:pPr>
              <w:pStyle w:val="0"/>
              <w:jc w:val="both"/>
            </w:pPr>
            <w:r>
              <w:rPr>
                <w:sz w:val="20"/>
              </w:rPr>
              <w:t xml:space="preserve">- заместитель министра социальной защиты Воронежской области</w:t>
            </w:r>
          </w:p>
        </w:tc>
      </w:tr>
      <w:tr>
        <w:tc>
          <w:tcPr>
            <w:tcW w:w="2438" w:type="dxa"/>
            <w:tcBorders>
              <w:top w:val="nil"/>
              <w:left w:val="nil"/>
              <w:bottom w:val="nil"/>
              <w:right w:val="nil"/>
            </w:tcBorders>
          </w:tcPr>
          <w:p>
            <w:pPr>
              <w:pStyle w:val="0"/>
              <w:jc w:val="both"/>
            </w:pPr>
            <w:r>
              <w:rPr>
                <w:sz w:val="20"/>
              </w:rPr>
              <w:t xml:space="preserve">Шабанов</w:t>
            </w:r>
          </w:p>
          <w:p>
            <w:pPr>
              <w:pStyle w:val="0"/>
              <w:jc w:val="both"/>
            </w:pPr>
            <w:r>
              <w:rPr>
                <w:sz w:val="20"/>
              </w:rPr>
              <w:t xml:space="preserve">Игорь Геннадьевич</w:t>
            </w:r>
          </w:p>
        </w:tc>
        <w:tc>
          <w:tcPr>
            <w:tcW w:w="6633" w:type="dxa"/>
            <w:tcBorders>
              <w:top w:val="nil"/>
              <w:left w:val="nil"/>
              <w:bottom w:val="nil"/>
              <w:right w:val="nil"/>
            </w:tcBorders>
          </w:tcPr>
          <w:p>
            <w:pPr>
              <w:pStyle w:val="0"/>
              <w:jc w:val="both"/>
            </w:pPr>
            <w:r>
              <w:rPr>
                <w:sz w:val="20"/>
              </w:rPr>
              <w:t xml:space="preserve">- заместитель министра внутренней политики Воронежской области - начальник отдела взаимодействия с институтами гражданского общества министерства внутренней политики Воронежской области</w:t>
            </w:r>
          </w:p>
        </w:tc>
      </w:tr>
      <w:tr>
        <w:tc>
          <w:tcPr>
            <w:tcW w:w="2438" w:type="dxa"/>
            <w:tcBorders>
              <w:top w:val="nil"/>
              <w:left w:val="nil"/>
              <w:bottom w:val="nil"/>
              <w:right w:val="nil"/>
            </w:tcBorders>
          </w:tcPr>
          <w:p>
            <w:pPr>
              <w:pStyle w:val="0"/>
              <w:jc w:val="both"/>
            </w:pPr>
            <w:r>
              <w:rPr>
                <w:sz w:val="20"/>
              </w:rPr>
              <w:t xml:space="preserve">Федулова</w:t>
            </w:r>
          </w:p>
          <w:p>
            <w:pPr>
              <w:pStyle w:val="0"/>
              <w:jc w:val="both"/>
            </w:pPr>
            <w:r>
              <w:rPr>
                <w:sz w:val="20"/>
              </w:rPr>
              <w:t xml:space="preserve">Алёна Сергеевна</w:t>
            </w:r>
          </w:p>
        </w:tc>
        <w:tc>
          <w:tcPr>
            <w:tcW w:w="6633" w:type="dxa"/>
            <w:tcBorders>
              <w:top w:val="nil"/>
              <w:left w:val="nil"/>
              <w:bottom w:val="nil"/>
              <w:right w:val="nil"/>
            </w:tcBorders>
          </w:tcPr>
          <w:p>
            <w:pPr>
              <w:pStyle w:val="0"/>
              <w:jc w:val="both"/>
            </w:pPr>
            <w:r>
              <w:rPr>
                <w:sz w:val="20"/>
              </w:rPr>
              <w:t xml:space="preserve">- исполняющий обязанности директора государственного автономного учреждения Воронежской области "Областной молодежный центр"</w:t>
            </w:r>
          </w:p>
        </w:tc>
      </w:tr>
      <w:tr>
        <w:tc>
          <w:tcPr>
            <w:tcW w:w="2438" w:type="dxa"/>
            <w:tcBorders>
              <w:top w:val="nil"/>
              <w:left w:val="nil"/>
              <w:bottom w:val="nil"/>
              <w:right w:val="nil"/>
            </w:tcBorders>
          </w:tcPr>
          <w:p>
            <w:pPr>
              <w:pStyle w:val="0"/>
            </w:pPr>
            <w:r>
              <w:rPr>
                <w:sz w:val="20"/>
              </w:rPr>
              <w:t xml:space="preserve">Нескребин</w:t>
            </w:r>
          </w:p>
          <w:p>
            <w:pPr>
              <w:pStyle w:val="0"/>
            </w:pPr>
            <w:r>
              <w:rPr>
                <w:sz w:val="20"/>
              </w:rPr>
              <w:t xml:space="preserve">Иван Сергеевич</w:t>
            </w:r>
          </w:p>
        </w:tc>
        <w:tc>
          <w:tcPr>
            <w:tcW w:w="6633" w:type="dxa"/>
            <w:tcBorders>
              <w:top w:val="nil"/>
              <w:left w:val="nil"/>
              <w:bottom w:val="nil"/>
              <w:right w:val="nil"/>
            </w:tcBorders>
          </w:tcPr>
          <w:p>
            <w:pPr>
              <w:pStyle w:val="0"/>
              <w:jc w:val="both"/>
            </w:pPr>
            <w:r>
              <w:rPr>
                <w:sz w:val="20"/>
              </w:rPr>
              <w:t xml:space="preserve">- заместитель начальника управления организации страхования профессиональных рисков отделения Фонда пенсионного и социального страхования Российской Федерации по Воронежской области (по согласованию)</w:t>
            </w:r>
          </w:p>
        </w:tc>
      </w:tr>
      <w:tr>
        <w:tc>
          <w:tcPr>
            <w:tcW w:w="2438" w:type="dxa"/>
            <w:tcBorders>
              <w:top w:val="nil"/>
              <w:left w:val="nil"/>
              <w:bottom w:val="nil"/>
              <w:right w:val="nil"/>
            </w:tcBorders>
          </w:tcPr>
          <w:p>
            <w:pPr>
              <w:pStyle w:val="0"/>
            </w:pPr>
            <w:r>
              <w:rPr>
                <w:sz w:val="20"/>
              </w:rPr>
              <w:t xml:space="preserve">Лихачева</w:t>
            </w:r>
          </w:p>
          <w:p>
            <w:pPr>
              <w:pStyle w:val="0"/>
            </w:pPr>
            <w:r>
              <w:rPr>
                <w:sz w:val="20"/>
              </w:rPr>
              <w:t xml:space="preserve">Инна Петровна</w:t>
            </w:r>
          </w:p>
        </w:tc>
        <w:tc>
          <w:tcPr>
            <w:tcW w:w="6633" w:type="dxa"/>
            <w:tcBorders>
              <w:top w:val="nil"/>
              <w:left w:val="nil"/>
              <w:bottom w:val="nil"/>
              <w:right w:val="nil"/>
            </w:tcBorders>
          </w:tcPr>
          <w:p>
            <w:pPr>
              <w:pStyle w:val="0"/>
              <w:jc w:val="both"/>
            </w:pPr>
            <w:r>
              <w:rPr>
                <w:sz w:val="20"/>
              </w:rPr>
              <w:t xml:space="preserve">- заместитель руководителя по экспертной работе Федерального казенного учреждения "Главное бюро медико-социальной экспертизы по Воронежской области" Министерства труда и социальной защиты Российской Федерации (по согласованию)</w:t>
            </w:r>
          </w:p>
        </w:tc>
      </w:tr>
      <w:tr>
        <w:tc>
          <w:tcPr>
            <w:tcW w:w="2438" w:type="dxa"/>
            <w:tcBorders>
              <w:top w:val="nil"/>
              <w:left w:val="nil"/>
              <w:bottom w:val="nil"/>
              <w:right w:val="nil"/>
            </w:tcBorders>
          </w:tcPr>
          <w:p>
            <w:pPr>
              <w:pStyle w:val="0"/>
              <w:jc w:val="both"/>
            </w:pPr>
            <w:r>
              <w:rPr>
                <w:sz w:val="20"/>
              </w:rPr>
              <w:t xml:space="preserve">Чернышова</w:t>
            </w:r>
          </w:p>
          <w:p>
            <w:pPr>
              <w:pStyle w:val="0"/>
              <w:jc w:val="both"/>
            </w:pPr>
            <w:r>
              <w:rPr>
                <w:sz w:val="20"/>
              </w:rPr>
              <w:t xml:space="preserve">Маргарита Сергеевна</w:t>
            </w:r>
          </w:p>
        </w:tc>
        <w:tc>
          <w:tcPr>
            <w:tcW w:w="6633" w:type="dxa"/>
            <w:tcBorders>
              <w:top w:val="nil"/>
              <w:left w:val="nil"/>
              <w:bottom w:val="nil"/>
              <w:right w:val="nil"/>
            </w:tcBorders>
          </w:tcPr>
          <w:p>
            <w:pPr>
              <w:pStyle w:val="0"/>
              <w:jc w:val="both"/>
            </w:pPr>
            <w:r>
              <w:rPr>
                <w:sz w:val="20"/>
              </w:rPr>
              <w:t xml:space="preserve">- председатель Совета Воронежского регионального отделения Всероссийской общественной молодежной организации "Всероссийский студенческий корпус спасателей" (по согласованию)</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Воронежской обл. от 04.09.2025 N 174-у</w:t>
            <w:br/>
            <w:t>"О комиссии Воронежской области по установлению причинно-следств...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45336" TargetMode = "External"/><Relationship Id="rId9" Type="http://schemas.openxmlformats.org/officeDocument/2006/relationships/hyperlink" Target="https://login.consultant.ru/link/?req=doc&amp;base=LAW&amp;n=2875" TargetMode = "External"/><Relationship Id="rId10" Type="http://schemas.openxmlformats.org/officeDocument/2006/relationships/hyperlink" Target="https://login.consultant.ru/link/?req=doc&amp;base=LAW&amp;n=445336&amp;dst=100080" TargetMode = "External"/><Relationship Id="rId11" Type="http://schemas.openxmlformats.org/officeDocument/2006/relationships/hyperlink" Target="https://login.consultant.ru/link/?req=doc&amp;base=LAW&amp;n=511332&amp;dst=127" TargetMode = "External"/><Relationship Id="rId12" Type="http://schemas.openxmlformats.org/officeDocument/2006/relationships/hyperlink" Target="https://login.consultant.ru/link/?req=doc&amp;base=LAW&amp;n=445336&amp;dst=10009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Воронежской обл. от 04.09.2025 N 174-у
"О комиссии Воронежской области по установлению причинно-следственной связи между получением вреда жизни или здоровью добровольца (волонтера) и осуществлением им вида добровольческой (волонтерской) деятельности, а также причинно-следственной связи между смертью (гибелью) добровольца (волонтера) и вредом жизни или здоровью добровольца (волонтера), полученным добровольцем (волонтером) при осуществлении им добровольческой (волонтерской) деятельности, в сл</dc:title>
  <dcterms:created xsi:type="dcterms:W3CDTF">2026-01-08T11:32:33Z</dcterms:created>
</cp:coreProperties>
</file>