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правительства ЕАО от 01.07.2024 N 287-рп</w:t>
              <w:br/>
              <w:t xml:space="preserve">"Об утверждении Плана мероприятий по реализации в 2024 - 2026 годах Стратегии государственной политики Российской Федерации в отношении российского казачества на 2021 - 2030 годы на территории Еврейской автономной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30.12.2024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ЕВРЕЙСКОЙ АВТОНОМНОЙ ОБЛАСТИ</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1 июля 2024 г. N 287-рп</w:t>
      </w:r>
    </w:p>
    <w:p>
      <w:pPr>
        <w:pStyle w:val="2"/>
        <w:jc w:val="center"/>
      </w:pPr>
      <w:r>
        <w:rPr>
          <w:sz w:val="20"/>
        </w:rPr>
      </w:r>
    </w:p>
    <w:p>
      <w:pPr>
        <w:pStyle w:val="2"/>
        <w:jc w:val="center"/>
      </w:pPr>
      <w:r>
        <w:rPr>
          <w:sz w:val="20"/>
        </w:rPr>
        <w:t xml:space="preserve">ОБ УТВЕРЖДЕНИИ ПЛАНА МЕРОПРИЯТИЙ ПО РЕАЛИЗАЦИИ</w:t>
      </w:r>
    </w:p>
    <w:p>
      <w:pPr>
        <w:pStyle w:val="2"/>
        <w:jc w:val="center"/>
      </w:pPr>
      <w:r>
        <w:rPr>
          <w:sz w:val="20"/>
        </w:rPr>
        <w:t xml:space="preserve">В 2024 - 2026 ГОДАХ СТРАТЕГИИ ГОСУДАРСТВЕННОЙ ПОЛИТИКИ</w:t>
      </w:r>
    </w:p>
    <w:p>
      <w:pPr>
        <w:pStyle w:val="2"/>
        <w:jc w:val="center"/>
      </w:pPr>
      <w:r>
        <w:rPr>
          <w:sz w:val="20"/>
        </w:rPr>
        <w:t xml:space="preserve">РОССИЙСКОЙ ФЕДЕРАЦИИ В ОТНОШЕНИИ РОССИЙСКОГО КАЗАЧЕСТВА</w:t>
      </w:r>
    </w:p>
    <w:p>
      <w:pPr>
        <w:pStyle w:val="2"/>
        <w:jc w:val="center"/>
      </w:pPr>
      <w:r>
        <w:rPr>
          <w:sz w:val="20"/>
        </w:rPr>
        <w:t xml:space="preserve">НА 2021 - 2030 ГОДЫ НА ТЕРРИТОРИИ ЕВРЕЙСКОЙ АВТОНОМНОЙ</w:t>
      </w:r>
    </w:p>
    <w:p>
      <w:pPr>
        <w:pStyle w:val="2"/>
        <w:jc w:val="center"/>
      </w:pPr>
      <w:r>
        <w:rPr>
          <w:sz w:val="20"/>
        </w:rPr>
        <w:t xml:space="preserve">ОБЛАСТИ</w:t>
      </w:r>
    </w:p>
    <w:p>
      <w:pPr>
        <w:pStyle w:val="0"/>
        <w:jc w:val="both"/>
      </w:pPr>
      <w:r>
        <w:rPr>
          <w:sz w:val="20"/>
        </w:rPr>
      </w:r>
    </w:p>
    <w:p>
      <w:pPr>
        <w:pStyle w:val="0"/>
        <w:ind w:firstLine="540"/>
        <w:jc w:val="both"/>
      </w:pPr>
      <w:r>
        <w:rPr>
          <w:sz w:val="20"/>
        </w:rPr>
        <w:t xml:space="preserve">В целях реализации </w:t>
      </w:r>
      <w:hyperlink w:history="0" r:id="rId7"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Стратегии</w:t>
        </w:r>
      </w:hyperlink>
      <w:r>
        <w:rPr>
          <w:sz w:val="20"/>
        </w:rPr>
        <w:t xml:space="preserve"> государственной политики Российской Федерации в отношении российского казачества на 2021 - 2030 годы, утвержденной Указом Президента Российской Федерации от 09.08.2020 N 505 "Об утверждении Стратегии государственной политики Российской Федерации в отношении российского казачества на 2021 - 2030 годы", и </w:t>
      </w:r>
      <w:hyperlink w:history="0" r:id="rId8" w:tooltip="Распоряжение Правительства РФ от 18.11.2023 N 3248-р &lt;Об утверждении плана мероприятий на 2024 - 2026 годы по реализации Стратегии государственной политики Российской Федерации в отношении российского казачества на 2021 - 2030 годы&gt; {КонсультантПлюс}">
        <w:r>
          <w:rPr>
            <w:sz w:val="20"/>
            <w:color w:val="0000ff"/>
          </w:rPr>
          <w:t xml:space="preserve">Распоряжения</w:t>
        </w:r>
      </w:hyperlink>
      <w:r>
        <w:rPr>
          <w:sz w:val="20"/>
        </w:rPr>
        <w:t xml:space="preserve"> Правительства Российской Федерации от 18.11.2023 N 3248-р "Об утверждении плана мероприятий на 2024 - 2026 годы по реализации Стратегии государственной политики Российской Федерации в отношении российского казачества на 2021 - 2030 годы":</w:t>
      </w:r>
    </w:p>
    <w:p>
      <w:pPr>
        <w:pStyle w:val="0"/>
        <w:spacing w:before="200" w:line-rule="auto"/>
        <w:ind w:firstLine="540"/>
        <w:jc w:val="both"/>
      </w:pPr>
      <w:r>
        <w:rPr>
          <w:sz w:val="20"/>
        </w:rPr>
        <w:t xml:space="preserve">1. Утвердить прилагаемый </w:t>
      </w:r>
      <w:hyperlink w:history="0" w:anchor="P31" w:tooltip="ПЛАН">
        <w:r>
          <w:rPr>
            <w:sz w:val="20"/>
            <w:color w:val="0000ff"/>
          </w:rPr>
          <w:t xml:space="preserve">План</w:t>
        </w:r>
      </w:hyperlink>
      <w:r>
        <w:rPr>
          <w:sz w:val="20"/>
        </w:rPr>
        <w:t xml:space="preserve"> мероприятий по реализации в 2024 - 2026 годах Стратегии государственной политики Российской Федерации в отношении российского казачества на 2021 - 2030 годы на территории Еврейской автономной области.</w:t>
      </w:r>
    </w:p>
    <w:p>
      <w:pPr>
        <w:pStyle w:val="0"/>
        <w:spacing w:before="200" w:line-rule="auto"/>
        <w:ind w:firstLine="540"/>
        <w:jc w:val="both"/>
      </w:pPr>
      <w:r>
        <w:rPr>
          <w:sz w:val="20"/>
        </w:rPr>
        <w:t xml:space="preserve">2. Органам исполнительной власти Еврейской автономной области, формируемым правительством Еврейской автономной области, структурным подразделениям аппарата губернатора и правительства Еврейской автономной области, ответственным за реализацию мероприятий </w:t>
      </w:r>
      <w:hyperlink w:history="0" w:anchor="P31" w:tooltip="ПЛАН">
        <w:r>
          <w:rPr>
            <w:sz w:val="20"/>
            <w:color w:val="0000ff"/>
          </w:rPr>
          <w:t xml:space="preserve">Плана</w:t>
        </w:r>
      </w:hyperlink>
      <w:r>
        <w:rPr>
          <w:sz w:val="20"/>
        </w:rPr>
        <w:t xml:space="preserve">, утвержденного пунктом 1 настоящего распоряжения, ежегодно до 20 января и до 20 июля года, следующего за отчетным, представлять в управление по внутренней политике Еврейской автономной области отчет об исполнении мероприятий </w:t>
      </w:r>
      <w:hyperlink w:history="0" w:anchor="P31" w:tooltip="ПЛАН">
        <w:r>
          <w:rPr>
            <w:sz w:val="20"/>
            <w:color w:val="0000ff"/>
          </w:rPr>
          <w:t xml:space="preserve">Плана</w:t>
        </w:r>
      </w:hyperlink>
      <w:r>
        <w:rPr>
          <w:sz w:val="20"/>
        </w:rPr>
        <w:t xml:space="preserve">, утвержденного пунктом 1 настоящего распоряжения.</w:t>
      </w:r>
    </w:p>
    <w:p>
      <w:pPr>
        <w:pStyle w:val="0"/>
        <w:spacing w:before="200" w:line-rule="auto"/>
        <w:ind w:firstLine="540"/>
        <w:jc w:val="both"/>
      </w:pPr>
      <w:r>
        <w:rPr>
          <w:sz w:val="20"/>
        </w:rPr>
        <w:t xml:space="preserve">3. Рекомендовать органам местного самоуправления муниципальных районов, городского округа Еврейской автономной области и организациям, ответственным за реализацию мероприятий </w:t>
      </w:r>
      <w:hyperlink w:history="0" w:anchor="P31" w:tooltip="ПЛАН">
        <w:r>
          <w:rPr>
            <w:sz w:val="20"/>
            <w:color w:val="0000ff"/>
          </w:rPr>
          <w:t xml:space="preserve">Плана</w:t>
        </w:r>
      </w:hyperlink>
      <w:r>
        <w:rPr>
          <w:sz w:val="20"/>
        </w:rPr>
        <w:t xml:space="preserve">, утвержденного пунктом 1 настоящего распоряжения, ежегодно до 20 января и до 20 июля года, следующего за отчетным, представлять в управление по внутренней политике Еврейской автономной области отчет об исполнении мероприятий </w:t>
      </w:r>
      <w:hyperlink w:history="0" w:anchor="P31" w:tooltip="ПЛАН">
        <w:r>
          <w:rPr>
            <w:sz w:val="20"/>
            <w:color w:val="0000ff"/>
          </w:rPr>
          <w:t xml:space="preserve">Плана</w:t>
        </w:r>
      </w:hyperlink>
      <w:r>
        <w:rPr>
          <w:sz w:val="20"/>
        </w:rPr>
        <w:t xml:space="preserve">, утвержденного пунктом 1 настоящего распоряжения.</w:t>
      </w:r>
    </w:p>
    <w:p>
      <w:pPr>
        <w:pStyle w:val="0"/>
        <w:spacing w:before="200" w:line-rule="auto"/>
        <w:ind w:firstLine="540"/>
        <w:jc w:val="both"/>
      </w:pPr>
      <w:r>
        <w:rPr>
          <w:sz w:val="20"/>
        </w:rPr>
        <w:t xml:space="preserve">4. Управлению по внутренней политике Еврейской автономной области ежегодно до 1 февраля и до 1 августа года, следующего за отчетным, информировать Федеральное агентство по делам национальностей об исполнении мероприятий </w:t>
      </w:r>
      <w:hyperlink w:history="0" w:anchor="P31" w:tooltip="ПЛАН">
        <w:r>
          <w:rPr>
            <w:sz w:val="20"/>
            <w:color w:val="0000ff"/>
          </w:rPr>
          <w:t xml:space="preserve">Плана</w:t>
        </w:r>
      </w:hyperlink>
      <w:r>
        <w:rPr>
          <w:sz w:val="20"/>
        </w:rPr>
        <w:t xml:space="preserve">, утвержденного пунктом 1 настоящего распоряжения.</w:t>
      </w:r>
    </w:p>
    <w:p>
      <w:pPr>
        <w:pStyle w:val="0"/>
        <w:spacing w:before="200" w:line-rule="auto"/>
        <w:ind w:firstLine="540"/>
        <w:jc w:val="both"/>
      </w:pPr>
      <w:r>
        <w:rPr>
          <w:sz w:val="20"/>
        </w:rPr>
        <w:t xml:space="preserve">5. Настоящее распоряжение вступает в силу со дня его подписания.</w:t>
      </w:r>
    </w:p>
    <w:p>
      <w:pPr>
        <w:pStyle w:val="0"/>
        <w:jc w:val="both"/>
      </w:pPr>
      <w:r>
        <w:rPr>
          <w:sz w:val="20"/>
        </w:rPr>
      </w:r>
    </w:p>
    <w:p>
      <w:pPr>
        <w:pStyle w:val="0"/>
        <w:jc w:val="right"/>
      </w:pPr>
      <w:r>
        <w:rPr>
          <w:sz w:val="20"/>
        </w:rPr>
        <w:t xml:space="preserve">Губернатор области</w:t>
      </w:r>
    </w:p>
    <w:p>
      <w:pPr>
        <w:pStyle w:val="0"/>
        <w:jc w:val="right"/>
      </w:pPr>
      <w:r>
        <w:rPr>
          <w:sz w:val="20"/>
        </w:rPr>
        <w:t xml:space="preserve">Р.Э.ГОЛЬДШТЕЙН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распоряжением правительства</w:t>
      </w:r>
    </w:p>
    <w:p>
      <w:pPr>
        <w:pStyle w:val="0"/>
        <w:jc w:val="right"/>
      </w:pPr>
      <w:r>
        <w:rPr>
          <w:sz w:val="20"/>
        </w:rPr>
        <w:t xml:space="preserve">Еврейской автономной области</w:t>
      </w:r>
    </w:p>
    <w:p>
      <w:pPr>
        <w:pStyle w:val="0"/>
        <w:jc w:val="right"/>
      </w:pPr>
      <w:r>
        <w:rPr>
          <w:sz w:val="20"/>
        </w:rPr>
        <w:t xml:space="preserve">от 01.07.2024 N 287-рп</w:t>
      </w:r>
    </w:p>
    <w:p>
      <w:pPr>
        <w:pStyle w:val="0"/>
        <w:jc w:val="both"/>
      </w:pPr>
      <w:r>
        <w:rPr>
          <w:sz w:val="20"/>
        </w:rPr>
      </w:r>
    </w:p>
    <w:bookmarkStart w:id="31" w:name="P31"/>
    <w:bookmarkEnd w:id="31"/>
    <w:p>
      <w:pPr>
        <w:pStyle w:val="2"/>
        <w:jc w:val="center"/>
      </w:pPr>
      <w:r>
        <w:rPr>
          <w:sz w:val="20"/>
        </w:rPr>
        <w:t xml:space="preserve">ПЛАН</w:t>
      </w:r>
    </w:p>
    <w:p>
      <w:pPr>
        <w:pStyle w:val="2"/>
        <w:jc w:val="center"/>
      </w:pPr>
      <w:r>
        <w:rPr>
          <w:sz w:val="20"/>
        </w:rPr>
        <w:t xml:space="preserve">МЕРОПРИЯТИЙ ПО РЕАЛИЗАЦИИ В 2024 - 2026 ГОДАХ СТРАТЕГИИ</w:t>
      </w:r>
    </w:p>
    <w:p>
      <w:pPr>
        <w:pStyle w:val="2"/>
        <w:jc w:val="center"/>
      </w:pPr>
      <w:r>
        <w:rPr>
          <w:sz w:val="20"/>
        </w:rPr>
        <w:t xml:space="preserve">ГОСУДАРСТВЕННОЙ ПОЛИТИКИ РОССИЙСКОЙ ФЕДЕРАЦИИ В ОТНОШЕНИИ</w:t>
      </w:r>
    </w:p>
    <w:p>
      <w:pPr>
        <w:pStyle w:val="2"/>
        <w:jc w:val="center"/>
      </w:pPr>
      <w:r>
        <w:rPr>
          <w:sz w:val="20"/>
        </w:rPr>
        <w:t xml:space="preserve">РОССИЙСКОГО КАЗАЧЕСТВА НА 2021 - 2030 ГОДЫ НА ТЕРРИТОРИИ</w:t>
      </w:r>
    </w:p>
    <w:p>
      <w:pPr>
        <w:pStyle w:val="2"/>
        <w:jc w:val="center"/>
      </w:pPr>
      <w:r>
        <w:rPr>
          <w:sz w:val="20"/>
        </w:rPr>
        <w:t xml:space="preserve">ЕВРЕЙСКОЙ АВТОНОМНОЙ ОБЛАСТИ</w:t>
      </w:r>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551"/>
        <w:gridCol w:w="1354"/>
        <w:gridCol w:w="1939"/>
        <w:gridCol w:w="1849"/>
        <w:gridCol w:w="2149"/>
      </w:tblGrid>
      <w:tr>
        <w:tc>
          <w:tcPr>
            <w:tcW w:w="454" w:type="dxa"/>
          </w:tcPr>
          <w:p>
            <w:pPr>
              <w:pStyle w:val="0"/>
              <w:jc w:val="center"/>
            </w:pPr>
            <w:r>
              <w:rPr>
                <w:sz w:val="20"/>
              </w:rPr>
              <w:t xml:space="preserve">N п/п</w:t>
            </w:r>
          </w:p>
        </w:tc>
        <w:tc>
          <w:tcPr>
            <w:tcW w:w="2551" w:type="dxa"/>
          </w:tcPr>
          <w:p>
            <w:pPr>
              <w:pStyle w:val="0"/>
              <w:jc w:val="center"/>
            </w:pPr>
            <w:r>
              <w:rPr>
                <w:sz w:val="20"/>
              </w:rPr>
              <w:t xml:space="preserve">Наименование мероприятия</w:t>
            </w:r>
          </w:p>
        </w:tc>
        <w:tc>
          <w:tcPr>
            <w:tcW w:w="1354" w:type="dxa"/>
          </w:tcPr>
          <w:p>
            <w:pPr>
              <w:pStyle w:val="0"/>
              <w:jc w:val="center"/>
            </w:pPr>
            <w:r>
              <w:rPr>
                <w:sz w:val="20"/>
              </w:rPr>
              <w:t xml:space="preserve">Срок исполнения</w:t>
            </w:r>
          </w:p>
        </w:tc>
        <w:tc>
          <w:tcPr>
            <w:tcW w:w="1939" w:type="dxa"/>
          </w:tcPr>
          <w:p>
            <w:pPr>
              <w:pStyle w:val="0"/>
              <w:jc w:val="center"/>
            </w:pPr>
            <w:r>
              <w:rPr>
                <w:sz w:val="20"/>
              </w:rPr>
              <w:t xml:space="preserve">Ответственный исполнитель</w:t>
            </w:r>
          </w:p>
        </w:tc>
        <w:tc>
          <w:tcPr>
            <w:tcW w:w="1849" w:type="dxa"/>
          </w:tcPr>
          <w:p>
            <w:pPr>
              <w:pStyle w:val="0"/>
              <w:jc w:val="center"/>
            </w:pPr>
            <w:r>
              <w:rPr>
                <w:sz w:val="20"/>
              </w:rPr>
              <w:t xml:space="preserve">Направление реализации задачи Стратегии</w:t>
            </w:r>
          </w:p>
        </w:tc>
        <w:tc>
          <w:tcPr>
            <w:tcW w:w="2149" w:type="dxa"/>
          </w:tcPr>
          <w:p>
            <w:pPr>
              <w:pStyle w:val="0"/>
              <w:jc w:val="center"/>
            </w:pPr>
            <w:r>
              <w:rPr>
                <w:sz w:val="20"/>
              </w:rPr>
              <w:t xml:space="preserve">Целевой показатель исполнения мероприятия</w:t>
            </w:r>
          </w:p>
        </w:tc>
      </w:tr>
      <w:tr>
        <w:tc>
          <w:tcPr>
            <w:tcW w:w="454" w:type="dxa"/>
          </w:tcPr>
          <w:p>
            <w:pPr>
              <w:pStyle w:val="0"/>
              <w:jc w:val="center"/>
            </w:pPr>
            <w:r>
              <w:rPr>
                <w:sz w:val="20"/>
              </w:rPr>
              <w:t xml:space="preserve">1</w:t>
            </w:r>
          </w:p>
        </w:tc>
        <w:tc>
          <w:tcPr>
            <w:tcW w:w="2551" w:type="dxa"/>
          </w:tcPr>
          <w:p>
            <w:pPr>
              <w:pStyle w:val="0"/>
              <w:jc w:val="center"/>
            </w:pPr>
            <w:r>
              <w:rPr>
                <w:sz w:val="20"/>
              </w:rPr>
              <w:t xml:space="preserve">2</w:t>
            </w:r>
          </w:p>
        </w:tc>
        <w:tc>
          <w:tcPr>
            <w:tcW w:w="1354" w:type="dxa"/>
          </w:tcPr>
          <w:p>
            <w:pPr>
              <w:pStyle w:val="0"/>
              <w:jc w:val="center"/>
            </w:pPr>
            <w:r>
              <w:rPr>
                <w:sz w:val="20"/>
              </w:rPr>
              <w:t xml:space="preserve">3</w:t>
            </w:r>
          </w:p>
        </w:tc>
        <w:tc>
          <w:tcPr>
            <w:tcW w:w="1939" w:type="dxa"/>
          </w:tcPr>
          <w:p>
            <w:pPr>
              <w:pStyle w:val="0"/>
              <w:jc w:val="center"/>
            </w:pPr>
            <w:r>
              <w:rPr>
                <w:sz w:val="20"/>
              </w:rPr>
              <w:t xml:space="preserve">4</w:t>
            </w:r>
          </w:p>
        </w:tc>
        <w:tc>
          <w:tcPr>
            <w:tcW w:w="1849" w:type="dxa"/>
          </w:tcPr>
          <w:p>
            <w:pPr>
              <w:pStyle w:val="0"/>
              <w:jc w:val="center"/>
            </w:pPr>
            <w:r>
              <w:rPr>
                <w:sz w:val="20"/>
              </w:rPr>
              <w:t xml:space="preserve">5</w:t>
            </w:r>
          </w:p>
        </w:tc>
        <w:tc>
          <w:tcPr>
            <w:tcW w:w="2149" w:type="dxa"/>
          </w:tcPr>
          <w:p>
            <w:pPr>
              <w:pStyle w:val="0"/>
              <w:jc w:val="center"/>
            </w:pPr>
            <w:r>
              <w:rPr>
                <w:sz w:val="20"/>
              </w:rPr>
              <w:t xml:space="preserve">6</w:t>
            </w:r>
          </w:p>
        </w:tc>
      </w:tr>
      <w:tr>
        <w:tc>
          <w:tcPr>
            <w:gridSpan w:val="6"/>
            <w:tcW w:w="10296" w:type="dxa"/>
          </w:tcPr>
          <w:p>
            <w:pPr>
              <w:pStyle w:val="0"/>
              <w:outlineLvl w:val="1"/>
              <w:jc w:val="center"/>
            </w:pPr>
            <w:r>
              <w:rPr>
                <w:sz w:val="20"/>
              </w:rPr>
              <w:t xml:space="preserve">I. Совершенствование механизма привлечения членов казачьих обществ к несению государственной и иной службы</w:t>
            </w:r>
          </w:p>
        </w:tc>
      </w:tr>
      <w:tr>
        <w:tc>
          <w:tcPr>
            <w:tcW w:w="454" w:type="dxa"/>
          </w:tcPr>
          <w:p>
            <w:pPr>
              <w:pStyle w:val="0"/>
              <w:jc w:val="center"/>
            </w:pPr>
            <w:r>
              <w:rPr>
                <w:sz w:val="20"/>
              </w:rPr>
              <w:t xml:space="preserve">1</w:t>
            </w:r>
          </w:p>
        </w:tc>
        <w:tc>
          <w:tcPr>
            <w:tcW w:w="2551" w:type="dxa"/>
          </w:tcPr>
          <w:p>
            <w:pPr>
              <w:pStyle w:val="0"/>
            </w:pPr>
            <w:r>
              <w:rPr>
                <w:sz w:val="20"/>
              </w:rPr>
              <w:t xml:space="preserve">Разработка и принятие нормативных правовых актов Еврейской автономной области и органов местного самоуправления муниципальных районов, городского округа Еврейской автономной области (далее - органы местного самоуправления) по вопросам становления и развития государственной и иной службы российского казачества</w:t>
            </w:r>
          </w:p>
        </w:tc>
        <w:tc>
          <w:tcPr>
            <w:tcW w:w="1354" w:type="dxa"/>
          </w:tcPr>
          <w:p>
            <w:pPr>
              <w:pStyle w:val="0"/>
              <w:jc w:val="center"/>
            </w:pPr>
            <w:r>
              <w:rPr>
                <w:sz w:val="20"/>
              </w:rPr>
              <w:t xml:space="preserve">Постоянно</w:t>
            </w:r>
          </w:p>
        </w:tc>
        <w:tc>
          <w:tcPr>
            <w:tcW w:w="1939" w:type="dxa"/>
          </w:tcPr>
          <w:p>
            <w:pPr>
              <w:pStyle w:val="0"/>
            </w:pPr>
            <w:r>
              <w:rPr>
                <w:sz w:val="20"/>
              </w:rPr>
              <w:t xml:space="preserve">Управление по внутренней политике Еврейской автономной области</w:t>
            </w:r>
          </w:p>
        </w:tc>
        <w:tc>
          <w:tcPr>
            <w:tcW w:w="1849" w:type="dxa"/>
          </w:tcPr>
          <w:p>
            <w:pPr>
              <w:pStyle w:val="0"/>
            </w:pPr>
            <w:hyperlink w:history="0" r:id="rId11"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"а" пункта 13</w:t>
              </w:r>
            </w:hyperlink>
            <w:r>
              <w:rPr>
                <w:sz w:val="20"/>
              </w:rPr>
              <w:t xml:space="preserve"> Стратегии государственной политики Российской Федерации в отношении российского казачества на 2021 - 2030 годы, утвержденной Указом Президента Российской Федерации от 09.08.2020 N 505 "Об утверждении Стратегии государственной политики Российской Федерации в отношении российского казачества на 2021 - 2030 годы" (далее - Стратегия)</w:t>
            </w:r>
          </w:p>
        </w:tc>
        <w:tc>
          <w:tcPr>
            <w:tcW w:w="2149" w:type="dxa"/>
          </w:tcPr>
          <w:p>
            <w:pPr>
              <w:pStyle w:val="0"/>
            </w:pPr>
            <w:r>
              <w:rPr>
                <w:sz w:val="20"/>
              </w:rPr>
              <w:t xml:space="preserve">Количество принятых нормативных правовых актов</w:t>
            </w:r>
          </w:p>
        </w:tc>
      </w:tr>
      <w:tr>
        <w:tc>
          <w:tcPr>
            <w:tcW w:w="454" w:type="dxa"/>
          </w:tcPr>
          <w:p>
            <w:pPr>
              <w:pStyle w:val="0"/>
              <w:jc w:val="center"/>
            </w:pPr>
            <w:r>
              <w:rPr>
                <w:sz w:val="20"/>
              </w:rPr>
              <w:t xml:space="preserve">2</w:t>
            </w:r>
          </w:p>
        </w:tc>
        <w:tc>
          <w:tcPr>
            <w:tcW w:w="2551" w:type="dxa"/>
          </w:tcPr>
          <w:p>
            <w:pPr>
              <w:pStyle w:val="0"/>
            </w:pPr>
            <w:r>
              <w:rPr>
                <w:sz w:val="20"/>
              </w:rPr>
              <w:t xml:space="preserve">Мониторинг востребованности членов казачьих обществ на государственной и иной службе российского казачества, к которой привлекаются члены казачьих обществ, в соответствии с </w:t>
            </w:r>
            <w:hyperlink w:history="0" r:id="rId12" w:tooltip="Постановление Правительства РФ от 26.02.2010 N 93 (ред. от 07.10.2015) &quot;О видах государственной или иной службы, к которой привлекаются члены хуторских, станичных, городских, районных (юртовых), окружных (отдельских) и войсковых казачьих обществ&quot; {КонсультантПлюс}">
              <w:r>
                <w:rPr>
                  <w:sz w:val="20"/>
                  <w:color w:val="0000ff"/>
                </w:rPr>
                <w:t xml:space="preserve">Постановлением</w:t>
              </w:r>
            </w:hyperlink>
            <w:r>
              <w:rPr>
                <w:sz w:val="20"/>
              </w:rPr>
              <w:t xml:space="preserve"> Правительства Российской Федерации от 26.02.2010 N 93 "О видах государственной или иной службы, к которой привлекаются члены хуторских, станичных, городских, районных (юртовых), окружных (отдельских) и войсковых казачьих обществ" (по каждому виду службы)</w:t>
            </w:r>
          </w:p>
        </w:tc>
        <w:tc>
          <w:tcPr>
            <w:tcW w:w="1354" w:type="dxa"/>
          </w:tcPr>
          <w:p>
            <w:pPr>
              <w:pStyle w:val="0"/>
              <w:jc w:val="center"/>
            </w:pPr>
            <w:r>
              <w:rPr>
                <w:sz w:val="20"/>
              </w:rPr>
              <w:t xml:space="preserve">Постоянно</w:t>
            </w:r>
          </w:p>
        </w:tc>
        <w:tc>
          <w:tcPr>
            <w:tcW w:w="1939" w:type="dxa"/>
          </w:tcPr>
          <w:p>
            <w:pPr>
              <w:pStyle w:val="0"/>
            </w:pPr>
            <w:r>
              <w:rPr>
                <w:sz w:val="20"/>
              </w:rPr>
              <w:t xml:space="preserve">Управление по внутренней политике Еврейской автономной области, органы местного самоуправления (по согласованию), казачьи общества (по согласованию)</w:t>
            </w:r>
          </w:p>
        </w:tc>
        <w:tc>
          <w:tcPr>
            <w:tcW w:w="1849" w:type="dxa"/>
          </w:tcPr>
          <w:p>
            <w:pPr>
              <w:pStyle w:val="0"/>
            </w:pPr>
            <w:r>
              <w:rPr>
                <w:sz w:val="20"/>
              </w:rPr>
              <w:t xml:space="preserve">Подпункт "а" пункта 13 Стратегии</w:t>
            </w:r>
          </w:p>
        </w:tc>
        <w:tc>
          <w:tcPr>
            <w:tcW w:w="2149" w:type="dxa"/>
          </w:tcPr>
          <w:p>
            <w:pPr>
              <w:pStyle w:val="0"/>
            </w:pPr>
            <w:r>
              <w:rPr>
                <w:sz w:val="20"/>
              </w:rPr>
              <w:t xml:space="preserve">Количество членов казачьих обществ, привлекаемых к государственной или иной службе российского казачества (по каждому виду службы)</w:t>
            </w:r>
          </w:p>
        </w:tc>
      </w:tr>
      <w:tr>
        <w:tc>
          <w:tcPr>
            <w:tcW w:w="454" w:type="dxa"/>
          </w:tcPr>
          <w:p>
            <w:pPr>
              <w:pStyle w:val="0"/>
              <w:jc w:val="center"/>
            </w:pPr>
            <w:r>
              <w:rPr>
                <w:sz w:val="20"/>
              </w:rPr>
              <w:t xml:space="preserve">3</w:t>
            </w:r>
          </w:p>
        </w:tc>
        <w:tc>
          <w:tcPr>
            <w:tcW w:w="2551" w:type="dxa"/>
          </w:tcPr>
          <w:p>
            <w:pPr>
              <w:pStyle w:val="0"/>
            </w:pPr>
            <w:r>
              <w:rPr>
                <w:sz w:val="20"/>
              </w:rPr>
              <w:t xml:space="preserve">Привлечение членов казачьих обществ к охране общественного порядка</w:t>
            </w:r>
          </w:p>
        </w:tc>
        <w:tc>
          <w:tcPr>
            <w:tcW w:w="1354" w:type="dxa"/>
          </w:tcPr>
          <w:p>
            <w:pPr>
              <w:pStyle w:val="0"/>
              <w:jc w:val="center"/>
            </w:pPr>
            <w:r>
              <w:rPr>
                <w:sz w:val="20"/>
              </w:rPr>
              <w:t xml:space="preserve">Ежегодно</w:t>
            </w:r>
          </w:p>
        </w:tc>
        <w:tc>
          <w:tcPr>
            <w:tcW w:w="1939" w:type="dxa"/>
          </w:tcPr>
          <w:p>
            <w:pPr>
              <w:pStyle w:val="0"/>
            </w:pPr>
            <w:r>
              <w:rPr>
                <w:sz w:val="20"/>
              </w:rPr>
              <w:t xml:space="preserve">Управление Министерства внутренних дел Российской Федерации по Еврейской автономной области (далее - УМВД России по ЕАО) (по согласованию), органы местного самоуправления (по согласованию), казачьи общества (по согласованию)</w:t>
            </w:r>
          </w:p>
        </w:tc>
        <w:tc>
          <w:tcPr>
            <w:tcW w:w="1849" w:type="dxa"/>
          </w:tcPr>
          <w:p>
            <w:pPr>
              <w:pStyle w:val="0"/>
            </w:pPr>
            <w:hyperlink w:history="0" r:id="rId13"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"е" пункта 13</w:t>
              </w:r>
            </w:hyperlink>
            <w:r>
              <w:rPr>
                <w:sz w:val="20"/>
              </w:rPr>
              <w:t xml:space="preserve"> Стратегии</w:t>
            </w:r>
          </w:p>
        </w:tc>
        <w:tc>
          <w:tcPr>
            <w:tcW w:w="2149" w:type="dxa"/>
          </w:tcPr>
          <w:p>
            <w:pPr>
              <w:pStyle w:val="0"/>
            </w:pPr>
            <w:r>
              <w:rPr>
                <w:sz w:val="20"/>
              </w:rPr>
              <w:t xml:space="preserve">Количество членов казачьих обществ, участвующих в охране общественного порядка</w:t>
            </w:r>
          </w:p>
        </w:tc>
      </w:tr>
      <w:tr>
        <w:tc>
          <w:tcPr>
            <w:tcW w:w="454" w:type="dxa"/>
          </w:tcPr>
          <w:p>
            <w:pPr>
              <w:pStyle w:val="0"/>
              <w:jc w:val="center"/>
            </w:pPr>
            <w:r>
              <w:rPr>
                <w:sz w:val="20"/>
              </w:rPr>
              <w:t xml:space="preserve">4</w:t>
            </w:r>
          </w:p>
        </w:tc>
        <w:tc>
          <w:tcPr>
            <w:tcW w:w="2551" w:type="dxa"/>
          </w:tcPr>
          <w:p>
            <w:pPr>
              <w:pStyle w:val="0"/>
            </w:pPr>
            <w:r>
              <w:rPr>
                <w:sz w:val="20"/>
              </w:rPr>
              <w:t xml:space="preserve">Привлечение членов казачьих обществ к участию в защите государственной границы Российской Федерации</w:t>
            </w:r>
          </w:p>
        </w:tc>
        <w:tc>
          <w:tcPr>
            <w:tcW w:w="1354" w:type="dxa"/>
          </w:tcPr>
          <w:p>
            <w:pPr>
              <w:pStyle w:val="0"/>
              <w:jc w:val="center"/>
            </w:pPr>
            <w:r>
              <w:rPr>
                <w:sz w:val="20"/>
              </w:rPr>
              <w:t xml:space="preserve">Постоянно</w:t>
            </w:r>
          </w:p>
        </w:tc>
        <w:tc>
          <w:tcPr>
            <w:tcW w:w="1939" w:type="dxa"/>
          </w:tcPr>
          <w:p>
            <w:pPr>
              <w:pStyle w:val="0"/>
            </w:pPr>
            <w:r>
              <w:rPr>
                <w:sz w:val="20"/>
              </w:rPr>
              <w:t xml:space="preserve">Служба в г. Биробиджане Пограничного управления Федеральной службы безопасности Российской Федерации по Хабаровскому краю и Еврейской автономной области (по согласованию), органы местного самоуправления (по согласованию), казачьи общества (по согласованию)</w:t>
            </w:r>
          </w:p>
        </w:tc>
        <w:tc>
          <w:tcPr>
            <w:tcW w:w="1849" w:type="dxa"/>
          </w:tcPr>
          <w:p>
            <w:pPr>
              <w:pStyle w:val="0"/>
            </w:pPr>
            <w:r>
              <w:rPr>
                <w:sz w:val="20"/>
              </w:rPr>
              <w:t xml:space="preserve">Подпункт "е" пункта 13 Стратегии</w:t>
            </w:r>
          </w:p>
        </w:tc>
        <w:tc>
          <w:tcPr>
            <w:tcW w:w="2149" w:type="dxa"/>
          </w:tcPr>
          <w:p>
            <w:pPr>
              <w:pStyle w:val="0"/>
            </w:pPr>
            <w:r>
              <w:rPr>
                <w:sz w:val="20"/>
              </w:rPr>
              <w:t xml:space="preserve">Количество членов казачьих обществ, участвующих в защите государственной границы Российской Федерации</w:t>
            </w:r>
          </w:p>
        </w:tc>
      </w:tr>
      <w:tr>
        <w:tc>
          <w:tcPr>
            <w:tcW w:w="454" w:type="dxa"/>
          </w:tcPr>
          <w:p>
            <w:pPr>
              <w:pStyle w:val="0"/>
              <w:jc w:val="center"/>
            </w:pPr>
            <w:r>
              <w:rPr>
                <w:sz w:val="20"/>
              </w:rPr>
              <w:t xml:space="preserve">5</w:t>
            </w:r>
          </w:p>
        </w:tc>
        <w:tc>
          <w:tcPr>
            <w:tcW w:w="2551" w:type="dxa"/>
          </w:tcPr>
          <w:p>
            <w:pPr>
              <w:pStyle w:val="0"/>
            </w:pPr>
            <w:r>
              <w:rPr>
                <w:sz w:val="20"/>
              </w:rPr>
              <w:t xml:space="preserve">Привлечение членов казачьих обществ к участию в мероприятиях по гражданской обороне в соответствии с принятыми членами войсковых казачьих обществ обязательствами по несению службы</w:t>
            </w:r>
          </w:p>
        </w:tc>
        <w:tc>
          <w:tcPr>
            <w:tcW w:w="1354" w:type="dxa"/>
          </w:tcPr>
          <w:p>
            <w:pPr>
              <w:pStyle w:val="0"/>
              <w:jc w:val="center"/>
            </w:pPr>
            <w:r>
              <w:rPr>
                <w:sz w:val="20"/>
              </w:rPr>
              <w:t xml:space="preserve">Постоянно</w:t>
            </w:r>
          </w:p>
        </w:tc>
        <w:tc>
          <w:tcPr>
            <w:tcW w:w="1939" w:type="dxa"/>
          </w:tcPr>
          <w:p>
            <w:pPr>
              <w:pStyle w:val="0"/>
            </w:pPr>
            <w:r>
              <w:rPr>
                <w:sz w:val="20"/>
              </w:rPr>
              <w:t xml:space="preserve">Департамент региональной безопасности Еврейской автономной области,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Еврейской автономной области (далее - ГУ МЧС России по ЕАО), органы местного самоуправления (по согласованию), казачьи общества (по согласованию)</w:t>
            </w:r>
          </w:p>
        </w:tc>
        <w:tc>
          <w:tcPr>
            <w:tcW w:w="1849" w:type="dxa"/>
          </w:tcPr>
          <w:p>
            <w:pPr>
              <w:pStyle w:val="0"/>
            </w:pPr>
            <w:r>
              <w:rPr>
                <w:sz w:val="20"/>
              </w:rPr>
              <w:t xml:space="preserve">Подпункт "е" пункта 13 Стратегии</w:t>
            </w:r>
          </w:p>
        </w:tc>
        <w:tc>
          <w:tcPr>
            <w:tcW w:w="2149" w:type="dxa"/>
          </w:tcPr>
          <w:p>
            <w:pPr>
              <w:pStyle w:val="0"/>
            </w:pPr>
            <w:r>
              <w:rPr>
                <w:sz w:val="20"/>
              </w:rPr>
              <w:t xml:space="preserve">Количество членов казачьих обществ, участвующих в мероприятиях по гражданской обороне</w:t>
            </w:r>
          </w:p>
        </w:tc>
      </w:tr>
      <w:tr>
        <w:tc>
          <w:tcPr>
            <w:tcW w:w="454" w:type="dxa"/>
          </w:tcPr>
          <w:p>
            <w:pPr>
              <w:pStyle w:val="0"/>
              <w:jc w:val="center"/>
            </w:pPr>
            <w:r>
              <w:rPr>
                <w:sz w:val="20"/>
              </w:rPr>
              <w:t xml:space="preserve">6</w:t>
            </w:r>
          </w:p>
        </w:tc>
        <w:tc>
          <w:tcPr>
            <w:tcW w:w="2551" w:type="dxa"/>
          </w:tcPr>
          <w:p>
            <w:pPr>
              <w:pStyle w:val="0"/>
            </w:pPr>
            <w:r>
              <w:rPr>
                <w:sz w:val="20"/>
              </w:rPr>
              <w:t xml:space="preserve">Привлечение членов казачьих обществ, входящих в состав добровольной пожарной охраны, к реализации мероприятий по предупреждению и ликвидации чрезвычайных ситуаций и ликвидации последствий стихийных бедствий</w:t>
            </w:r>
          </w:p>
        </w:tc>
        <w:tc>
          <w:tcPr>
            <w:tcW w:w="1354" w:type="dxa"/>
          </w:tcPr>
          <w:p>
            <w:pPr>
              <w:pStyle w:val="0"/>
              <w:jc w:val="center"/>
            </w:pPr>
            <w:r>
              <w:rPr>
                <w:sz w:val="20"/>
              </w:rPr>
              <w:t xml:space="preserve">Постоянно</w:t>
            </w:r>
          </w:p>
        </w:tc>
        <w:tc>
          <w:tcPr>
            <w:tcW w:w="1939" w:type="dxa"/>
          </w:tcPr>
          <w:p>
            <w:pPr>
              <w:pStyle w:val="0"/>
            </w:pPr>
            <w:r>
              <w:rPr>
                <w:sz w:val="20"/>
              </w:rPr>
              <w:t xml:space="preserve">ГУ МЧС России по ЕАО (по согласованию), органы местного самоуправления (по согласованию), казачьи общества (по согласованию)</w:t>
            </w:r>
          </w:p>
        </w:tc>
        <w:tc>
          <w:tcPr>
            <w:tcW w:w="1849" w:type="dxa"/>
          </w:tcPr>
          <w:p>
            <w:pPr>
              <w:pStyle w:val="0"/>
            </w:pPr>
            <w:r>
              <w:rPr>
                <w:sz w:val="20"/>
              </w:rPr>
              <w:t xml:space="preserve">Подпункт "е" пункта 13 Стратегии</w:t>
            </w:r>
          </w:p>
        </w:tc>
        <w:tc>
          <w:tcPr>
            <w:tcW w:w="2149" w:type="dxa"/>
          </w:tcPr>
          <w:p>
            <w:pPr>
              <w:pStyle w:val="0"/>
            </w:pPr>
            <w:r>
              <w:rPr>
                <w:sz w:val="20"/>
              </w:rPr>
              <w:t xml:space="preserve">Количество членов казачьих обществ, участвующих в мероприятиях по предупреждению и ликвидации чрезвычайных ситуаций и ликвидации последствий стихийных бедствий</w:t>
            </w:r>
          </w:p>
        </w:tc>
      </w:tr>
      <w:tr>
        <w:tc>
          <w:tcPr>
            <w:tcW w:w="454" w:type="dxa"/>
          </w:tcPr>
          <w:p>
            <w:pPr>
              <w:pStyle w:val="0"/>
              <w:jc w:val="center"/>
            </w:pPr>
            <w:r>
              <w:rPr>
                <w:sz w:val="20"/>
              </w:rPr>
              <w:t xml:space="preserve">7</w:t>
            </w:r>
          </w:p>
        </w:tc>
        <w:tc>
          <w:tcPr>
            <w:tcW w:w="2551" w:type="dxa"/>
          </w:tcPr>
          <w:p>
            <w:pPr>
              <w:pStyle w:val="0"/>
            </w:pPr>
            <w:r>
              <w:rPr>
                <w:sz w:val="20"/>
              </w:rPr>
              <w:t xml:space="preserve">Привлечение членов казачьих обществ к реализации мероприятий по обеспечению пожарной безопасности (тушение техногенных пожаров, тушение лесных и природных пожаров, участие в профилактических мероприятиях)</w:t>
            </w:r>
          </w:p>
        </w:tc>
        <w:tc>
          <w:tcPr>
            <w:tcW w:w="1354" w:type="dxa"/>
          </w:tcPr>
          <w:p>
            <w:pPr>
              <w:pStyle w:val="0"/>
              <w:jc w:val="center"/>
            </w:pPr>
            <w:r>
              <w:rPr>
                <w:sz w:val="20"/>
              </w:rPr>
              <w:t xml:space="preserve">Постоянно</w:t>
            </w:r>
          </w:p>
        </w:tc>
        <w:tc>
          <w:tcPr>
            <w:tcW w:w="1939" w:type="dxa"/>
          </w:tcPr>
          <w:p>
            <w:pPr>
              <w:pStyle w:val="0"/>
            </w:pPr>
            <w:r>
              <w:rPr>
                <w:sz w:val="20"/>
              </w:rPr>
              <w:t xml:space="preserve">ГУ МЧС России по ЕАО (по согласованию), органы местного самоуправления (по согласованию), казачьи общества (по согласованию)</w:t>
            </w:r>
          </w:p>
        </w:tc>
        <w:tc>
          <w:tcPr>
            <w:tcW w:w="1849" w:type="dxa"/>
          </w:tcPr>
          <w:p>
            <w:pPr>
              <w:pStyle w:val="0"/>
            </w:pPr>
            <w:r>
              <w:rPr>
                <w:sz w:val="20"/>
              </w:rPr>
              <w:t xml:space="preserve">Подпункт "е" пункта 13 Стратегии</w:t>
            </w:r>
          </w:p>
        </w:tc>
        <w:tc>
          <w:tcPr>
            <w:tcW w:w="2149" w:type="dxa"/>
          </w:tcPr>
          <w:p>
            <w:pPr>
              <w:pStyle w:val="0"/>
            </w:pPr>
            <w:r>
              <w:rPr>
                <w:sz w:val="20"/>
              </w:rPr>
              <w:t xml:space="preserve">Количество членов казачьих обществ, участвующих в мероприятиях по обеспечению пожарной безопасности (тушение техногенных пожаров, тушение лесных и природных пожаров, участие в профилактических мероприятиях)</w:t>
            </w:r>
          </w:p>
        </w:tc>
      </w:tr>
      <w:tr>
        <w:tc>
          <w:tcPr>
            <w:tcW w:w="454" w:type="dxa"/>
          </w:tcPr>
          <w:p>
            <w:pPr>
              <w:pStyle w:val="0"/>
              <w:jc w:val="center"/>
            </w:pPr>
            <w:r>
              <w:rPr>
                <w:sz w:val="20"/>
              </w:rPr>
              <w:t xml:space="preserve">8</w:t>
            </w:r>
          </w:p>
        </w:tc>
        <w:tc>
          <w:tcPr>
            <w:tcW w:w="2551" w:type="dxa"/>
          </w:tcPr>
          <w:p>
            <w:pPr>
              <w:pStyle w:val="0"/>
            </w:pPr>
            <w:r>
              <w:rPr>
                <w:sz w:val="20"/>
              </w:rPr>
              <w:t xml:space="preserve">Привлечение членов казачьих обществ, входящих в состав добровольной пожарной охраны, к отработке совместных действий с пожарно-спасательными подразделениями при проведении пожарно-тактических учений и занятий в рамках пожарно-спасательных гарнизонов</w:t>
            </w:r>
          </w:p>
        </w:tc>
        <w:tc>
          <w:tcPr>
            <w:tcW w:w="1354" w:type="dxa"/>
          </w:tcPr>
          <w:p>
            <w:pPr>
              <w:pStyle w:val="0"/>
              <w:jc w:val="center"/>
            </w:pPr>
            <w:r>
              <w:rPr>
                <w:sz w:val="20"/>
              </w:rPr>
              <w:t xml:space="preserve">Постоянно</w:t>
            </w:r>
          </w:p>
        </w:tc>
        <w:tc>
          <w:tcPr>
            <w:tcW w:w="1939" w:type="dxa"/>
          </w:tcPr>
          <w:p>
            <w:pPr>
              <w:pStyle w:val="0"/>
            </w:pPr>
            <w:r>
              <w:rPr>
                <w:sz w:val="20"/>
              </w:rPr>
              <w:t xml:space="preserve">ГУ МЧС России по ЕАО (по согласованию), органы местного самоуправления (по согласованию), казачьи общества (по согласованию)</w:t>
            </w:r>
          </w:p>
        </w:tc>
        <w:tc>
          <w:tcPr>
            <w:tcW w:w="1849" w:type="dxa"/>
          </w:tcPr>
          <w:p>
            <w:pPr>
              <w:pStyle w:val="0"/>
            </w:pPr>
            <w:r>
              <w:rPr>
                <w:sz w:val="20"/>
              </w:rPr>
              <w:t xml:space="preserve">Подпункт "е" пункта 13 Стратегии</w:t>
            </w:r>
          </w:p>
        </w:tc>
        <w:tc>
          <w:tcPr>
            <w:tcW w:w="2149" w:type="dxa"/>
          </w:tcPr>
          <w:p>
            <w:pPr>
              <w:pStyle w:val="0"/>
            </w:pPr>
            <w:r>
              <w:rPr>
                <w:sz w:val="20"/>
              </w:rPr>
              <w:t xml:space="preserve">Количество членов казачьих обществ, привлеченных к отработке совместных действий с пожарно-спасательными подразделениями при проведении пожарно-тактических учений и занятий в рамках пожарно-спасательных гарнизонов</w:t>
            </w:r>
          </w:p>
        </w:tc>
      </w:tr>
      <w:tr>
        <w:tc>
          <w:tcPr>
            <w:tcW w:w="454" w:type="dxa"/>
          </w:tcPr>
          <w:p>
            <w:pPr>
              <w:pStyle w:val="0"/>
              <w:jc w:val="center"/>
            </w:pPr>
            <w:r>
              <w:rPr>
                <w:sz w:val="20"/>
              </w:rPr>
              <w:t xml:space="preserve">9</w:t>
            </w:r>
          </w:p>
        </w:tc>
        <w:tc>
          <w:tcPr>
            <w:tcW w:w="2551" w:type="dxa"/>
          </w:tcPr>
          <w:p>
            <w:pPr>
              <w:pStyle w:val="0"/>
            </w:pPr>
            <w:r>
              <w:rPr>
                <w:sz w:val="20"/>
              </w:rPr>
              <w:t xml:space="preserve">Привлечение членов казачьих обществ к участию в мероприятиях, направленных на обеспечение природоохранной деятельности и экологической безопасности</w:t>
            </w:r>
          </w:p>
        </w:tc>
        <w:tc>
          <w:tcPr>
            <w:tcW w:w="1354" w:type="dxa"/>
          </w:tcPr>
          <w:p>
            <w:pPr>
              <w:pStyle w:val="0"/>
              <w:jc w:val="center"/>
            </w:pPr>
            <w:r>
              <w:rPr>
                <w:sz w:val="20"/>
              </w:rPr>
              <w:t xml:space="preserve">Ежегодно</w:t>
            </w:r>
          </w:p>
        </w:tc>
        <w:tc>
          <w:tcPr>
            <w:tcW w:w="1939" w:type="dxa"/>
          </w:tcPr>
          <w:p>
            <w:pPr>
              <w:pStyle w:val="0"/>
            </w:pPr>
            <w:r>
              <w:rPr>
                <w:sz w:val="20"/>
              </w:rPr>
              <w:t xml:space="preserve">Департамент природных ресурсов правительства Еврейской автономной области, казачьи общества (по согласованию)</w:t>
            </w:r>
          </w:p>
        </w:tc>
        <w:tc>
          <w:tcPr>
            <w:tcW w:w="1849" w:type="dxa"/>
          </w:tcPr>
          <w:p>
            <w:pPr>
              <w:pStyle w:val="0"/>
            </w:pPr>
            <w:hyperlink w:history="0" r:id="rId14"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"д" пункта 11</w:t>
              </w:r>
            </w:hyperlink>
            <w:r>
              <w:rPr>
                <w:sz w:val="20"/>
              </w:rPr>
              <w:t xml:space="preserve"> Стратегии</w:t>
            </w:r>
          </w:p>
        </w:tc>
        <w:tc>
          <w:tcPr>
            <w:tcW w:w="2149" w:type="dxa"/>
          </w:tcPr>
          <w:p>
            <w:pPr>
              <w:pStyle w:val="0"/>
            </w:pPr>
            <w:r>
              <w:rPr>
                <w:sz w:val="20"/>
              </w:rPr>
              <w:t xml:space="preserve">Количество членов казачьих обществ, привлеченных к участию в мероприятиях по обеспечению природоохранной деятельности и экологической безопасности</w:t>
            </w:r>
          </w:p>
        </w:tc>
      </w:tr>
      <w:tr>
        <w:tc>
          <w:tcPr>
            <w:gridSpan w:val="6"/>
            <w:tcW w:w="10296" w:type="dxa"/>
          </w:tcPr>
          <w:p>
            <w:pPr>
              <w:pStyle w:val="0"/>
              <w:outlineLvl w:val="1"/>
              <w:jc w:val="center"/>
            </w:pPr>
            <w:r>
              <w:rPr>
                <w:sz w:val="20"/>
              </w:rPr>
              <w:t xml:space="preserve">II. Поддержка взаимодействия между казачьими обществами и иными объединениями казаков</w:t>
            </w:r>
          </w:p>
        </w:tc>
      </w:tr>
      <w:tr>
        <w:tc>
          <w:tcPr>
            <w:tcW w:w="454" w:type="dxa"/>
          </w:tcPr>
          <w:p>
            <w:pPr>
              <w:pStyle w:val="0"/>
              <w:jc w:val="center"/>
            </w:pPr>
            <w:r>
              <w:rPr>
                <w:sz w:val="20"/>
              </w:rPr>
              <w:t xml:space="preserve">10</w:t>
            </w:r>
          </w:p>
        </w:tc>
        <w:tc>
          <w:tcPr>
            <w:tcW w:w="2551" w:type="dxa"/>
          </w:tcPr>
          <w:p>
            <w:pPr>
              <w:pStyle w:val="0"/>
            </w:pPr>
            <w:r>
              <w:rPr>
                <w:sz w:val="20"/>
              </w:rPr>
              <w:t xml:space="preserve">Участие во Всероссийском семинаре-совещании "Российское казачество"</w:t>
            </w:r>
          </w:p>
        </w:tc>
        <w:tc>
          <w:tcPr>
            <w:tcW w:w="1354" w:type="dxa"/>
          </w:tcPr>
          <w:p>
            <w:pPr>
              <w:pStyle w:val="0"/>
              <w:jc w:val="center"/>
            </w:pPr>
            <w:r>
              <w:rPr>
                <w:sz w:val="20"/>
              </w:rPr>
              <w:t xml:space="preserve">Ежегодно</w:t>
            </w:r>
          </w:p>
        </w:tc>
        <w:tc>
          <w:tcPr>
            <w:tcW w:w="1939" w:type="dxa"/>
          </w:tcPr>
          <w:p>
            <w:pPr>
              <w:pStyle w:val="0"/>
            </w:pPr>
            <w:r>
              <w:rPr>
                <w:sz w:val="20"/>
              </w:rPr>
              <w:t xml:space="preserve">Управление по внутренней политике Еврейской автономной области, казачьи общества (по согласованию), иные объединения казаков (по согласованию)</w:t>
            </w:r>
          </w:p>
        </w:tc>
        <w:tc>
          <w:tcPr>
            <w:tcW w:w="1849" w:type="dxa"/>
          </w:tcPr>
          <w:p>
            <w:pPr>
              <w:pStyle w:val="0"/>
            </w:pPr>
            <w:hyperlink w:history="0" r:id="rId15"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"б" пункта 9</w:t>
              </w:r>
            </w:hyperlink>
            <w:r>
              <w:rPr>
                <w:sz w:val="20"/>
              </w:rPr>
              <w:t xml:space="preserve"> Стратегии</w:t>
            </w:r>
          </w:p>
        </w:tc>
        <w:tc>
          <w:tcPr>
            <w:tcW w:w="2149" w:type="dxa"/>
          </w:tcPr>
          <w:p>
            <w:pPr>
              <w:pStyle w:val="0"/>
            </w:pPr>
            <w:r>
              <w:rPr>
                <w:sz w:val="20"/>
              </w:rPr>
              <w:t xml:space="preserve">Количество казачьих обществ и иных объединений казаков, принявших участие в семинаре-совещании</w:t>
            </w:r>
          </w:p>
        </w:tc>
      </w:tr>
      <w:tr>
        <w:tc>
          <w:tcPr>
            <w:tcW w:w="454" w:type="dxa"/>
          </w:tcPr>
          <w:p>
            <w:pPr>
              <w:pStyle w:val="0"/>
              <w:jc w:val="center"/>
            </w:pPr>
            <w:r>
              <w:rPr>
                <w:sz w:val="20"/>
              </w:rPr>
              <w:t xml:space="preserve">11</w:t>
            </w:r>
          </w:p>
        </w:tc>
        <w:tc>
          <w:tcPr>
            <w:tcW w:w="2551" w:type="dxa"/>
          </w:tcPr>
          <w:p>
            <w:pPr>
              <w:pStyle w:val="0"/>
            </w:pPr>
            <w:r>
              <w:rPr>
                <w:sz w:val="20"/>
              </w:rPr>
              <w:t xml:space="preserve">Организация и проведение методических семинаров по вопросам участия казачьих обществ в конкурсах для получения грантов в сфере образования и культуры</w:t>
            </w:r>
          </w:p>
        </w:tc>
        <w:tc>
          <w:tcPr>
            <w:tcW w:w="1354" w:type="dxa"/>
          </w:tcPr>
          <w:p>
            <w:pPr>
              <w:pStyle w:val="0"/>
              <w:jc w:val="center"/>
            </w:pPr>
            <w:r>
              <w:rPr>
                <w:sz w:val="20"/>
              </w:rPr>
              <w:t xml:space="preserve">Ежегодно</w:t>
            </w:r>
          </w:p>
        </w:tc>
        <w:tc>
          <w:tcPr>
            <w:tcW w:w="1939" w:type="dxa"/>
          </w:tcPr>
          <w:p>
            <w:pPr>
              <w:pStyle w:val="0"/>
            </w:pPr>
            <w:r>
              <w:rPr>
                <w:sz w:val="20"/>
              </w:rPr>
              <w:t xml:space="preserve">Управление по внутренней политике Еврейской автономной области, областное государственное бюджетное учреждение "Ресурсный центр поддержки общественных инициатив "Территория действий", казачьи общества (по согласованию), иные объединения казаков (по согласованию), органы местного самоуправления (по согласованию)</w:t>
            </w:r>
          </w:p>
        </w:tc>
        <w:tc>
          <w:tcPr>
            <w:tcW w:w="1849" w:type="dxa"/>
          </w:tcPr>
          <w:p>
            <w:pPr>
              <w:pStyle w:val="0"/>
            </w:pPr>
            <w:hyperlink w:history="0" r:id="rId16"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"в" пункта 9</w:t>
              </w:r>
            </w:hyperlink>
            <w:r>
              <w:rPr>
                <w:sz w:val="20"/>
              </w:rPr>
              <w:t xml:space="preserve"> Стратегии</w:t>
            </w:r>
          </w:p>
        </w:tc>
        <w:tc>
          <w:tcPr>
            <w:tcW w:w="2149" w:type="dxa"/>
          </w:tcPr>
          <w:p>
            <w:pPr>
              <w:pStyle w:val="0"/>
            </w:pPr>
            <w:r>
              <w:rPr>
                <w:sz w:val="20"/>
              </w:rPr>
              <w:t xml:space="preserve">Количество методических семинаров, количество участников семинаров</w:t>
            </w:r>
          </w:p>
        </w:tc>
      </w:tr>
      <w:tr>
        <w:tc>
          <w:tcPr>
            <w:tcW w:w="454" w:type="dxa"/>
          </w:tcPr>
          <w:p>
            <w:pPr>
              <w:pStyle w:val="0"/>
              <w:jc w:val="center"/>
            </w:pPr>
            <w:r>
              <w:rPr>
                <w:sz w:val="20"/>
              </w:rPr>
              <w:t xml:space="preserve">12</w:t>
            </w:r>
          </w:p>
        </w:tc>
        <w:tc>
          <w:tcPr>
            <w:tcW w:w="2551" w:type="dxa"/>
          </w:tcPr>
          <w:p>
            <w:pPr>
              <w:pStyle w:val="0"/>
            </w:pPr>
            <w:r>
              <w:rPr>
                <w:sz w:val="20"/>
              </w:rPr>
              <w:t xml:space="preserve">Организация и проведение семинаров по вопросам устройства в семьи казаков детей-сирот и детей, оставшихся без попечения родителей, подготовки лиц из числа казаков, желающих принять на воспитание в свою семью детей-сирот и детей, оставшихся без попечения родителей</w:t>
            </w:r>
          </w:p>
        </w:tc>
        <w:tc>
          <w:tcPr>
            <w:tcW w:w="1354" w:type="dxa"/>
          </w:tcPr>
          <w:p>
            <w:pPr>
              <w:pStyle w:val="0"/>
              <w:jc w:val="center"/>
            </w:pPr>
            <w:r>
              <w:rPr>
                <w:sz w:val="20"/>
              </w:rPr>
              <w:t xml:space="preserve">Ежегодно</w:t>
            </w:r>
          </w:p>
        </w:tc>
        <w:tc>
          <w:tcPr>
            <w:tcW w:w="1939" w:type="dxa"/>
          </w:tcPr>
          <w:p>
            <w:pPr>
              <w:pStyle w:val="0"/>
            </w:pPr>
            <w:r>
              <w:rPr>
                <w:sz w:val="20"/>
              </w:rPr>
              <w:t xml:space="preserve">Департамент социальной защиты населения правительства Еврейской автономной области, казачьи общества (по согласованию), иные объединения казаков (по согласованию)</w:t>
            </w:r>
          </w:p>
        </w:tc>
        <w:tc>
          <w:tcPr>
            <w:tcW w:w="1849" w:type="dxa"/>
          </w:tcPr>
          <w:p>
            <w:pPr>
              <w:pStyle w:val="0"/>
            </w:pPr>
            <w:hyperlink w:history="0" r:id="rId17"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"в" пункта 14</w:t>
              </w:r>
            </w:hyperlink>
            <w:r>
              <w:rPr>
                <w:sz w:val="20"/>
              </w:rPr>
              <w:t xml:space="preserve"> Стратегии</w:t>
            </w:r>
          </w:p>
        </w:tc>
        <w:tc>
          <w:tcPr>
            <w:tcW w:w="2149" w:type="dxa"/>
          </w:tcPr>
          <w:p>
            <w:pPr>
              <w:pStyle w:val="0"/>
            </w:pPr>
            <w:r>
              <w:rPr>
                <w:sz w:val="20"/>
              </w:rPr>
              <w:t xml:space="preserve">Количество методических семинаров, количество участников семинаров</w:t>
            </w:r>
          </w:p>
        </w:tc>
      </w:tr>
      <w:tr>
        <w:tc>
          <w:tcPr>
            <w:tcW w:w="454" w:type="dxa"/>
          </w:tcPr>
          <w:p>
            <w:pPr>
              <w:pStyle w:val="0"/>
              <w:jc w:val="center"/>
            </w:pPr>
            <w:r>
              <w:rPr>
                <w:sz w:val="20"/>
              </w:rPr>
              <w:t xml:space="preserve">13</w:t>
            </w:r>
          </w:p>
        </w:tc>
        <w:tc>
          <w:tcPr>
            <w:tcW w:w="2551" w:type="dxa"/>
          </w:tcPr>
          <w:p>
            <w:pPr>
              <w:pStyle w:val="0"/>
            </w:pPr>
            <w:r>
              <w:rPr>
                <w:sz w:val="20"/>
              </w:rPr>
              <w:t xml:space="preserve">Оказание гуманитарной помощи членам казачьих обществ и иных объединений казаков, участвующим (содействующим) в выполнении задач, возложенных на Вооруженные Силы Российской Федерации в период проведения специальной военной операции</w:t>
            </w:r>
          </w:p>
        </w:tc>
        <w:tc>
          <w:tcPr>
            <w:tcW w:w="1354" w:type="dxa"/>
          </w:tcPr>
          <w:p>
            <w:pPr>
              <w:pStyle w:val="0"/>
              <w:jc w:val="center"/>
            </w:pPr>
            <w:r>
              <w:rPr>
                <w:sz w:val="20"/>
              </w:rPr>
              <w:t xml:space="preserve">Постоянно</w:t>
            </w:r>
          </w:p>
        </w:tc>
        <w:tc>
          <w:tcPr>
            <w:tcW w:w="1939" w:type="dxa"/>
          </w:tcPr>
          <w:p>
            <w:pPr>
              <w:pStyle w:val="0"/>
            </w:pPr>
            <w:r>
              <w:rPr>
                <w:sz w:val="20"/>
              </w:rPr>
              <w:t xml:space="preserve">Управление по внутренней политике Еврейской автономной области, филиал Государственного фонда поддержки участников специальной военной операции "Защитники Отечества" по Еврейской автономной области (по согласованию), казачьи общества (по согласованию), иные объединения казаков (по согласованию), органы местного самоуправления (по согласованию)</w:t>
            </w:r>
          </w:p>
        </w:tc>
        <w:tc>
          <w:tcPr>
            <w:tcW w:w="1849" w:type="dxa"/>
          </w:tcPr>
          <w:p>
            <w:pPr>
              <w:pStyle w:val="0"/>
            </w:pPr>
            <w:hyperlink w:history="0" r:id="rId18"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"г" пункта 13</w:t>
              </w:r>
            </w:hyperlink>
            <w:r>
              <w:rPr>
                <w:sz w:val="20"/>
              </w:rPr>
              <w:t xml:space="preserve"> Стратегии</w:t>
            </w:r>
          </w:p>
        </w:tc>
        <w:tc>
          <w:tcPr>
            <w:tcW w:w="2149" w:type="dxa"/>
          </w:tcPr>
          <w:p>
            <w:pPr>
              <w:pStyle w:val="0"/>
            </w:pPr>
            <w:r>
              <w:rPr>
                <w:sz w:val="20"/>
              </w:rPr>
              <w:t xml:space="preserve">Количество членов казачьих обществ, которым оказана помощь</w:t>
            </w:r>
          </w:p>
        </w:tc>
      </w:tr>
      <w:tr>
        <w:tc>
          <w:tcPr>
            <w:tcW w:w="454" w:type="dxa"/>
          </w:tcPr>
          <w:p>
            <w:pPr>
              <w:pStyle w:val="0"/>
              <w:jc w:val="center"/>
            </w:pPr>
            <w:r>
              <w:rPr>
                <w:sz w:val="20"/>
              </w:rPr>
              <w:t xml:space="preserve">14</w:t>
            </w:r>
          </w:p>
        </w:tc>
        <w:tc>
          <w:tcPr>
            <w:tcW w:w="2551" w:type="dxa"/>
          </w:tcPr>
          <w:p>
            <w:pPr>
              <w:pStyle w:val="0"/>
            </w:pPr>
            <w:r>
              <w:rPr>
                <w:sz w:val="20"/>
              </w:rPr>
              <w:t xml:space="preserve">Оказание помощи семьям членов казачьих обществ и иных объединений казаков, тяжело раненных или погибших в ходе проведения специальной военной операции</w:t>
            </w:r>
          </w:p>
        </w:tc>
        <w:tc>
          <w:tcPr>
            <w:tcW w:w="1354" w:type="dxa"/>
          </w:tcPr>
          <w:p>
            <w:pPr>
              <w:pStyle w:val="0"/>
              <w:jc w:val="center"/>
            </w:pPr>
            <w:r>
              <w:rPr>
                <w:sz w:val="20"/>
              </w:rPr>
              <w:t xml:space="preserve">Постоянно</w:t>
            </w:r>
          </w:p>
        </w:tc>
        <w:tc>
          <w:tcPr>
            <w:tcW w:w="1939" w:type="dxa"/>
          </w:tcPr>
          <w:p>
            <w:pPr>
              <w:pStyle w:val="0"/>
            </w:pPr>
            <w:r>
              <w:rPr>
                <w:sz w:val="20"/>
              </w:rPr>
              <w:t xml:space="preserve">Департамент социальной защиты населения правительства Еврейской автономной области, филиал Государственного фонда поддержки участников специальной военной операции "Защитники Отечества" по Еврейской автономной области (по согласованию), управление по внутренней политике Еврейской автономной области, казачьи общества (по согласованию), иные объединения казаков (по согласованию), органы местного самоуправления (по согласованию)</w:t>
            </w:r>
          </w:p>
        </w:tc>
        <w:tc>
          <w:tcPr>
            <w:tcW w:w="1849" w:type="dxa"/>
          </w:tcPr>
          <w:p>
            <w:pPr>
              <w:pStyle w:val="0"/>
            </w:pPr>
            <w:r>
              <w:rPr>
                <w:sz w:val="20"/>
              </w:rPr>
              <w:t xml:space="preserve">Подпункт "г" пункта 13 Стратегии</w:t>
            </w:r>
          </w:p>
        </w:tc>
        <w:tc>
          <w:tcPr>
            <w:tcW w:w="2149" w:type="dxa"/>
          </w:tcPr>
          <w:p>
            <w:pPr>
              <w:pStyle w:val="0"/>
            </w:pPr>
            <w:r>
              <w:rPr>
                <w:sz w:val="20"/>
              </w:rPr>
              <w:t xml:space="preserve">Количество семей казаков, которым оказана помощь</w:t>
            </w:r>
          </w:p>
        </w:tc>
      </w:tr>
      <w:tr>
        <w:tc>
          <w:tcPr>
            <w:gridSpan w:val="6"/>
            <w:tcW w:w="10296" w:type="dxa"/>
          </w:tcPr>
          <w:p>
            <w:pPr>
              <w:pStyle w:val="0"/>
              <w:outlineLvl w:val="1"/>
              <w:jc w:val="center"/>
            </w:pPr>
            <w:r>
              <w:rPr>
                <w:sz w:val="20"/>
              </w:rPr>
              <w:t xml:space="preserve">III. Содействие воспитанию подрастающего поколения в духе патриотизма, гражданской ответственности и готовности к служению Отечеству с опорой на духовно-нравственные основы и ценности российского казачества, обеспечение участия российского казачества в реализации государственной молодежной политики</w:t>
            </w:r>
          </w:p>
        </w:tc>
      </w:tr>
      <w:tr>
        <w:tc>
          <w:tcPr>
            <w:tcW w:w="454" w:type="dxa"/>
          </w:tcPr>
          <w:p>
            <w:pPr>
              <w:pStyle w:val="0"/>
              <w:jc w:val="center"/>
            </w:pPr>
            <w:r>
              <w:rPr>
                <w:sz w:val="20"/>
              </w:rPr>
              <w:t xml:space="preserve">15</w:t>
            </w:r>
          </w:p>
        </w:tc>
        <w:tc>
          <w:tcPr>
            <w:tcW w:w="2551" w:type="dxa"/>
          </w:tcPr>
          <w:p>
            <w:pPr>
              <w:pStyle w:val="0"/>
            </w:pPr>
            <w:r>
              <w:rPr>
                <w:sz w:val="20"/>
              </w:rPr>
              <w:t xml:space="preserve">Обеспечение информационной и методической поддержки образовательных организаций, реализующих образовательные программы с учетом культурно-исторических традиций и ценностей российского казачества</w:t>
            </w:r>
          </w:p>
        </w:tc>
        <w:tc>
          <w:tcPr>
            <w:tcW w:w="1354" w:type="dxa"/>
          </w:tcPr>
          <w:p>
            <w:pPr>
              <w:pStyle w:val="0"/>
              <w:jc w:val="center"/>
            </w:pPr>
            <w:r>
              <w:rPr>
                <w:sz w:val="20"/>
              </w:rPr>
              <w:t xml:space="preserve">Постоянно</w:t>
            </w:r>
          </w:p>
        </w:tc>
        <w:tc>
          <w:tcPr>
            <w:tcW w:w="1939" w:type="dxa"/>
          </w:tcPr>
          <w:p>
            <w:pPr>
              <w:pStyle w:val="0"/>
            </w:pPr>
            <w:r>
              <w:rPr>
                <w:sz w:val="20"/>
              </w:rPr>
              <w:t xml:space="preserve">Департамент образования Еврейской автономной области, департамент по молодежной политике правительства Еврейской автономной области, казачьи общества (по согласованию)</w:t>
            </w:r>
          </w:p>
        </w:tc>
        <w:tc>
          <w:tcPr>
            <w:tcW w:w="1849" w:type="dxa"/>
          </w:tcPr>
          <w:p>
            <w:pPr>
              <w:pStyle w:val="0"/>
            </w:pPr>
            <w:hyperlink w:history="0" r:id="rId19"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"а" пункта 15</w:t>
              </w:r>
            </w:hyperlink>
            <w:r>
              <w:rPr>
                <w:sz w:val="20"/>
              </w:rPr>
              <w:t xml:space="preserve"> Стратегии</w:t>
            </w:r>
          </w:p>
        </w:tc>
        <w:tc>
          <w:tcPr>
            <w:tcW w:w="2149" w:type="dxa"/>
          </w:tcPr>
          <w:p>
            <w:pPr>
              <w:pStyle w:val="0"/>
            </w:pPr>
            <w:r>
              <w:rPr>
                <w:sz w:val="20"/>
              </w:rPr>
              <w:t xml:space="preserve">Количество проведенных мероприятий, количество участников мероприятий</w:t>
            </w:r>
          </w:p>
        </w:tc>
      </w:tr>
      <w:tr>
        <w:tc>
          <w:tcPr>
            <w:tcW w:w="454" w:type="dxa"/>
          </w:tcPr>
          <w:p>
            <w:pPr>
              <w:pStyle w:val="0"/>
              <w:jc w:val="center"/>
            </w:pPr>
            <w:r>
              <w:rPr>
                <w:sz w:val="20"/>
              </w:rPr>
              <w:t xml:space="preserve">16</w:t>
            </w:r>
          </w:p>
        </w:tc>
        <w:tc>
          <w:tcPr>
            <w:tcW w:w="2551" w:type="dxa"/>
          </w:tcPr>
          <w:p>
            <w:pPr>
              <w:pStyle w:val="0"/>
            </w:pPr>
            <w:r>
              <w:rPr>
                <w:sz w:val="20"/>
              </w:rPr>
              <w:t xml:space="preserve">Участие парадных расчетов казачьих обществ и казачьих кадетских классов совместно с подразделениями Вооруженных Сил Российской Федерации и других войск в военных парадах и прохождениях войск торжественным маршем</w:t>
            </w:r>
          </w:p>
        </w:tc>
        <w:tc>
          <w:tcPr>
            <w:tcW w:w="1354" w:type="dxa"/>
          </w:tcPr>
          <w:p>
            <w:pPr>
              <w:pStyle w:val="0"/>
              <w:jc w:val="center"/>
            </w:pPr>
            <w:r>
              <w:rPr>
                <w:sz w:val="20"/>
              </w:rPr>
              <w:t xml:space="preserve">Ежегодно</w:t>
            </w:r>
          </w:p>
        </w:tc>
        <w:tc>
          <w:tcPr>
            <w:tcW w:w="1939" w:type="dxa"/>
          </w:tcPr>
          <w:p>
            <w:pPr>
              <w:pStyle w:val="0"/>
            </w:pPr>
            <w:r>
              <w:rPr>
                <w:sz w:val="20"/>
              </w:rPr>
              <w:t xml:space="preserve">Управление по внутренней политике Еврейской автономной области, департамент по молодежной политике правительства Еврейской автономной области, казачьи общества (по согласованию), объединения казаков (по согласованию), органы местного самоуправления (по согласованию)</w:t>
            </w:r>
          </w:p>
        </w:tc>
        <w:tc>
          <w:tcPr>
            <w:tcW w:w="1849" w:type="dxa"/>
          </w:tcPr>
          <w:p>
            <w:pPr>
              <w:pStyle w:val="0"/>
            </w:pPr>
            <w:hyperlink w:history="0" r:id="rId20"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"м" пункта 15</w:t>
              </w:r>
            </w:hyperlink>
            <w:r>
              <w:rPr>
                <w:sz w:val="20"/>
              </w:rPr>
              <w:t xml:space="preserve"> Стратегии</w:t>
            </w:r>
          </w:p>
        </w:tc>
        <w:tc>
          <w:tcPr>
            <w:tcW w:w="2149" w:type="dxa"/>
          </w:tcPr>
          <w:p>
            <w:pPr>
              <w:pStyle w:val="0"/>
            </w:pPr>
            <w:r>
              <w:rPr>
                <w:sz w:val="20"/>
              </w:rPr>
              <w:t xml:space="preserve">Количество человек из числа членов казачьих обществ и воспитанников казачьих кадетских классов, принявших участие в военных парадах и прохождениях войск торжественным маршем</w:t>
            </w:r>
          </w:p>
        </w:tc>
      </w:tr>
      <w:tr>
        <w:tc>
          <w:tcPr>
            <w:tcW w:w="454" w:type="dxa"/>
          </w:tcPr>
          <w:p>
            <w:pPr>
              <w:pStyle w:val="0"/>
              <w:jc w:val="center"/>
            </w:pPr>
            <w:r>
              <w:rPr>
                <w:sz w:val="20"/>
              </w:rPr>
              <w:t xml:space="preserve">17</w:t>
            </w:r>
          </w:p>
        </w:tc>
        <w:tc>
          <w:tcPr>
            <w:tcW w:w="2551" w:type="dxa"/>
          </w:tcPr>
          <w:p>
            <w:pPr>
              <w:pStyle w:val="0"/>
            </w:pPr>
            <w:r>
              <w:rPr>
                <w:sz w:val="20"/>
              </w:rPr>
              <w:t xml:space="preserve">Привлечение казачьей молодежи и членов казачьих обществ к проведению молодежно-патриотической акции "День призывника"</w:t>
            </w:r>
          </w:p>
        </w:tc>
        <w:tc>
          <w:tcPr>
            <w:tcW w:w="1354" w:type="dxa"/>
          </w:tcPr>
          <w:p>
            <w:pPr>
              <w:pStyle w:val="0"/>
              <w:jc w:val="center"/>
            </w:pPr>
            <w:r>
              <w:rPr>
                <w:sz w:val="20"/>
              </w:rPr>
              <w:t xml:space="preserve">Ежегодно</w:t>
            </w:r>
          </w:p>
        </w:tc>
        <w:tc>
          <w:tcPr>
            <w:tcW w:w="1939" w:type="dxa"/>
          </w:tcPr>
          <w:p>
            <w:pPr>
              <w:pStyle w:val="0"/>
            </w:pPr>
            <w:r>
              <w:rPr>
                <w:sz w:val="20"/>
              </w:rPr>
              <w:t xml:space="preserve">Военный комиссариат Еврейской автономной области (по согласованию), казачьи общества (по согласованию)</w:t>
            </w:r>
          </w:p>
        </w:tc>
        <w:tc>
          <w:tcPr>
            <w:tcW w:w="1849" w:type="dxa"/>
          </w:tcPr>
          <w:p>
            <w:pPr>
              <w:pStyle w:val="0"/>
            </w:pPr>
            <w:r>
              <w:rPr>
                <w:sz w:val="20"/>
              </w:rPr>
              <w:t xml:space="preserve">Подпункт "м" пункта 15 Стратегии</w:t>
            </w:r>
          </w:p>
        </w:tc>
        <w:tc>
          <w:tcPr>
            <w:tcW w:w="2149" w:type="dxa"/>
          </w:tcPr>
          <w:p>
            <w:pPr>
              <w:pStyle w:val="0"/>
            </w:pPr>
            <w:r>
              <w:rPr>
                <w:sz w:val="20"/>
              </w:rPr>
              <w:t xml:space="preserve">Количество членов казачьих обществ, привлеченных к проведению акции</w:t>
            </w:r>
          </w:p>
        </w:tc>
      </w:tr>
      <w:tr>
        <w:tc>
          <w:tcPr>
            <w:tcW w:w="454" w:type="dxa"/>
          </w:tcPr>
          <w:p>
            <w:pPr>
              <w:pStyle w:val="0"/>
              <w:jc w:val="center"/>
            </w:pPr>
            <w:r>
              <w:rPr>
                <w:sz w:val="20"/>
              </w:rPr>
              <w:t xml:space="preserve">18</w:t>
            </w:r>
          </w:p>
        </w:tc>
        <w:tc>
          <w:tcPr>
            <w:tcW w:w="2551" w:type="dxa"/>
          </w:tcPr>
          <w:p>
            <w:pPr>
              <w:pStyle w:val="0"/>
            </w:pPr>
            <w:r>
              <w:rPr>
                <w:sz w:val="20"/>
              </w:rPr>
              <w:t xml:space="preserve">Проведение физкультурных и спортивных мероприятий среди казачьей молодежи</w:t>
            </w:r>
          </w:p>
        </w:tc>
        <w:tc>
          <w:tcPr>
            <w:tcW w:w="1354" w:type="dxa"/>
          </w:tcPr>
          <w:p>
            <w:pPr>
              <w:pStyle w:val="0"/>
              <w:jc w:val="center"/>
            </w:pPr>
            <w:r>
              <w:rPr>
                <w:sz w:val="20"/>
              </w:rPr>
              <w:t xml:space="preserve">Ежегодно</w:t>
            </w:r>
          </w:p>
        </w:tc>
        <w:tc>
          <w:tcPr>
            <w:tcW w:w="1939" w:type="dxa"/>
          </w:tcPr>
          <w:p>
            <w:pPr>
              <w:pStyle w:val="0"/>
            </w:pPr>
            <w:r>
              <w:rPr>
                <w:sz w:val="20"/>
              </w:rPr>
              <w:t xml:space="preserve">Департамент по физической культуре и спорту правительства Еврейской автономной области, департамент по молодежной политике правительства Еврейской автономной области, казачьи общества (по согласованию)</w:t>
            </w:r>
          </w:p>
        </w:tc>
        <w:tc>
          <w:tcPr>
            <w:tcW w:w="1849" w:type="dxa"/>
          </w:tcPr>
          <w:p>
            <w:pPr>
              <w:pStyle w:val="0"/>
            </w:pPr>
            <w:hyperlink w:history="0" r:id="rId21"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"е" пункта 15</w:t>
              </w:r>
            </w:hyperlink>
            <w:r>
              <w:rPr>
                <w:sz w:val="20"/>
              </w:rPr>
              <w:t xml:space="preserve"> Стратегии</w:t>
            </w:r>
          </w:p>
        </w:tc>
        <w:tc>
          <w:tcPr>
            <w:tcW w:w="2149" w:type="dxa"/>
          </w:tcPr>
          <w:p>
            <w:pPr>
              <w:pStyle w:val="0"/>
            </w:pPr>
            <w:r>
              <w:rPr>
                <w:sz w:val="20"/>
              </w:rPr>
              <w:t xml:space="preserve">Количество проведенных мероприятий, количество участников мероприятий</w:t>
            </w:r>
          </w:p>
        </w:tc>
      </w:tr>
      <w:tr>
        <w:tc>
          <w:tcPr>
            <w:tcW w:w="454" w:type="dxa"/>
          </w:tcPr>
          <w:p>
            <w:pPr>
              <w:pStyle w:val="0"/>
              <w:jc w:val="center"/>
            </w:pPr>
            <w:r>
              <w:rPr>
                <w:sz w:val="20"/>
              </w:rPr>
              <w:t xml:space="preserve">19</w:t>
            </w:r>
          </w:p>
        </w:tc>
        <w:tc>
          <w:tcPr>
            <w:tcW w:w="2551" w:type="dxa"/>
          </w:tcPr>
          <w:p>
            <w:pPr>
              <w:pStyle w:val="0"/>
            </w:pPr>
            <w:r>
              <w:rPr>
                <w:sz w:val="20"/>
              </w:rPr>
              <w:t xml:space="preserve">Участие во Всероссийском слете казачьей молодежи "Готов к труду и обороне"</w:t>
            </w:r>
          </w:p>
        </w:tc>
        <w:tc>
          <w:tcPr>
            <w:tcW w:w="1354" w:type="dxa"/>
          </w:tcPr>
          <w:p>
            <w:pPr>
              <w:pStyle w:val="0"/>
              <w:jc w:val="center"/>
            </w:pPr>
            <w:r>
              <w:rPr>
                <w:sz w:val="20"/>
              </w:rPr>
              <w:t xml:space="preserve">Ежегодно</w:t>
            </w:r>
          </w:p>
        </w:tc>
        <w:tc>
          <w:tcPr>
            <w:tcW w:w="1939" w:type="dxa"/>
          </w:tcPr>
          <w:p>
            <w:pPr>
              <w:pStyle w:val="0"/>
            </w:pPr>
            <w:r>
              <w:rPr>
                <w:sz w:val="20"/>
              </w:rPr>
              <w:t xml:space="preserve">Департамент по физической культуре и спорту правительства Еврейской автономной области, казачьи общества (по согласованию)</w:t>
            </w:r>
          </w:p>
        </w:tc>
        <w:tc>
          <w:tcPr>
            <w:tcW w:w="1849" w:type="dxa"/>
          </w:tcPr>
          <w:p>
            <w:pPr>
              <w:pStyle w:val="0"/>
            </w:pPr>
            <w:r>
              <w:rPr>
                <w:sz w:val="20"/>
              </w:rPr>
              <w:t xml:space="preserve">Подпункт "е" пункта 15 Стратегии</w:t>
            </w:r>
          </w:p>
        </w:tc>
        <w:tc>
          <w:tcPr>
            <w:tcW w:w="2149" w:type="dxa"/>
          </w:tcPr>
          <w:p>
            <w:pPr>
              <w:pStyle w:val="0"/>
            </w:pPr>
            <w:r>
              <w:rPr>
                <w:sz w:val="20"/>
              </w:rPr>
              <w:t xml:space="preserve">Количество участников слета</w:t>
            </w:r>
          </w:p>
        </w:tc>
      </w:tr>
      <w:tr>
        <w:tc>
          <w:tcPr>
            <w:tcW w:w="454" w:type="dxa"/>
          </w:tcPr>
          <w:p>
            <w:pPr>
              <w:pStyle w:val="0"/>
              <w:jc w:val="center"/>
            </w:pPr>
            <w:r>
              <w:rPr>
                <w:sz w:val="20"/>
              </w:rPr>
              <w:t xml:space="preserve">20</w:t>
            </w:r>
          </w:p>
        </w:tc>
        <w:tc>
          <w:tcPr>
            <w:tcW w:w="2551" w:type="dxa"/>
          </w:tcPr>
          <w:p>
            <w:pPr>
              <w:pStyle w:val="0"/>
            </w:pPr>
            <w:r>
              <w:rPr>
                <w:sz w:val="20"/>
              </w:rPr>
              <w:t xml:space="preserve">Участие во Всероссийской спартакиаде допризывной казачьей молодежи</w:t>
            </w:r>
          </w:p>
        </w:tc>
        <w:tc>
          <w:tcPr>
            <w:tcW w:w="1354" w:type="dxa"/>
          </w:tcPr>
          <w:p>
            <w:pPr>
              <w:pStyle w:val="0"/>
              <w:jc w:val="center"/>
            </w:pPr>
            <w:r>
              <w:rPr>
                <w:sz w:val="20"/>
              </w:rPr>
              <w:t xml:space="preserve">Ежегодно</w:t>
            </w:r>
          </w:p>
        </w:tc>
        <w:tc>
          <w:tcPr>
            <w:tcW w:w="1939" w:type="dxa"/>
          </w:tcPr>
          <w:p>
            <w:pPr>
              <w:pStyle w:val="0"/>
            </w:pPr>
            <w:r>
              <w:rPr>
                <w:sz w:val="20"/>
              </w:rPr>
              <w:t xml:space="preserve">Департамент образования Еврейской автономной области, департамент по молодежной политике правительства Еврейской автономной области, казачьи общества (по согласованию)</w:t>
            </w:r>
          </w:p>
        </w:tc>
        <w:tc>
          <w:tcPr>
            <w:tcW w:w="1849" w:type="dxa"/>
          </w:tcPr>
          <w:p>
            <w:pPr>
              <w:pStyle w:val="0"/>
            </w:pPr>
            <w:hyperlink w:history="0" r:id="rId22"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"ж" пункта 15</w:t>
              </w:r>
            </w:hyperlink>
            <w:r>
              <w:rPr>
                <w:sz w:val="20"/>
              </w:rPr>
              <w:t xml:space="preserve"> Стратегии</w:t>
            </w:r>
          </w:p>
        </w:tc>
        <w:tc>
          <w:tcPr>
            <w:tcW w:w="2149" w:type="dxa"/>
          </w:tcPr>
          <w:p>
            <w:pPr>
              <w:pStyle w:val="0"/>
            </w:pPr>
            <w:r>
              <w:rPr>
                <w:sz w:val="20"/>
              </w:rPr>
              <w:t xml:space="preserve">Количество участников спартакиады</w:t>
            </w:r>
          </w:p>
        </w:tc>
      </w:tr>
      <w:tr>
        <w:tc>
          <w:tcPr>
            <w:tcW w:w="454" w:type="dxa"/>
          </w:tcPr>
          <w:p>
            <w:pPr>
              <w:pStyle w:val="0"/>
              <w:jc w:val="center"/>
            </w:pPr>
            <w:r>
              <w:rPr>
                <w:sz w:val="20"/>
              </w:rPr>
              <w:t xml:space="preserve">21</w:t>
            </w:r>
          </w:p>
        </w:tc>
        <w:tc>
          <w:tcPr>
            <w:tcW w:w="2551" w:type="dxa"/>
          </w:tcPr>
          <w:p>
            <w:pPr>
              <w:pStyle w:val="0"/>
            </w:pPr>
            <w:r>
              <w:rPr>
                <w:sz w:val="20"/>
              </w:rPr>
              <w:t xml:space="preserve">Участие в международной научно-практической конференции "Церковь и казачество: соработничество на благо Отечества" в рамках Международных образовательных Рождественских чтений</w:t>
            </w:r>
          </w:p>
        </w:tc>
        <w:tc>
          <w:tcPr>
            <w:tcW w:w="1354" w:type="dxa"/>
          </w:tcPr>
          <w:p>
            <w:pPr>
              <w:pStyle w:val="0"/>
              <w:jc w:val="center"/>
            </w:pPr>
            <w:r>
              <w:rPr>
                <w:sz w:val="20"/>
              </w:rPr>
              <w:t xml:space="preserve">Ежегодно</w:t>
            </w:r>
          </w:p>
        </w:tc>
        <w:tc>
          <w:tcPr>
            <w:tcW w:w="1939" w:type="dxa"/>
          </w:tcPr>
          <w:p>
            <w:pPr>
              <w:pStyle w:val="0"/>
            </w:pPr>
            <w:r>
              <w:rPr>
                <w:sz w:val="20"/>
              </w:rPr>
              <w:t xml:space="preserve">Управление по внутренней политике Еврейской автономной области, Биробиджанская епархия Русской Православной Церкви (по согласованию), казачьи общества (по согласованию)</w:t>
            </w:r>
          </w:p>
        </w:tc>
        <w:tc>
          <w:tcPr>
            <w:tcW w:w="1849" w:type="dxa"/>
          </w:tcPr>
          <w:p>
            <w:pPr>
              <w:pStyle w:val="0"/>
            </w:pPr>
            <w:hyperlink w:history="0" r:id="rId23"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"б" пункта 15</w:t>
              </w:r>
            </w:hyperlink>
            <w:r>
              <w:rPr>
                <w:sz w:val="20"/>
              </w:rPr>
              <w:t xml:space="preserve"> Стратегии</w:t>
            </w:r>
          </w:p>
        </w:tc>
        <w:tc>
          <w:tcPr>
            <w:tcW w:w="2149" w:type="dxa"/>
          </w:tcPr>
          <w:p>
            <w:pPr>
              <w:pStyle w:val="0"/>
            </w:pPr>
            <w:r>
              <w:rPr>
                <w:sz w:val="20"/>
              </w:rPr>
              <w:t xml:space="preserve">Количество участников конференции</w:t>
            </w:r>
          </w:p>
        </w:tc>
      </w:tr>
      <w:tr>
        <w:tc>
          <w:tcPr>
            <w:tcW w:w="454" w:type="dxa"/>
          </w:tcPr>
          <w:p>
            <w:pPr>
              <w:pStyle w:val="0"/>
              <w:jc w:val="center"/>
            </w:pPr>
            <w:r>
              <w:rPr>
                <w:sz w:val="20"/>
              </w:rPr>
              <w:t xml:space="preserve">22</w:t>
            </w:r>
          </w:p>
        </w:tc>
        <w:tc>
          <w:tcPr>
            <w:tcW w:w="2551" w:type="dxa"/>
          </w:tcPr>
          <w:p>
            <w:pPr>
              <w:pStyle w:val="0"/>
            </w:pPr>
            <w:r>
              <w:rPr>
                <w:sz w:val="20"/>
              </w:rPr>
              <w:t xml:space="preserve">Участие в Евразийском форуме казачьей молодежи "Казачье единство"</w:t>
            </w:r>
          </w:p>
        </w:tc>
        <w:tc>
          <w:tcPr>
            <w:tcW w:w="1354" w:type="dxa"/>
          </w:tcPr>
          <w:p>
            <w:pPr>
              <w:pStyle w:val="0"/>
              <w:jc w:val="center"/>
            </w:pPr>
            <w:r>
              <w:rPr>
                <w:sz w:val="20"/>
              </w:rPr>
              <w:t xml:space="preserve">Ежегодно</w:t>
            </w:r>
          </w:p>
        </w:tc>
        <w:tc>
          <w:tcPr>
            <w:tcW w:w="1939" w:type="dxa"/>
          </w:tcPr>
          <w:p>
            <w:pPr>
              <w:pStyle w:val="0"/>
            </w:pPr>
            <w:r>
              <w:rPr>
                <w:sz w:val="20"/>
              </w:rPr>
              <w:t xml:space="preserve">Управление по внутренней политике Еврейской автономной области, департамент по молодежной политике правительства Еврейской автономной области, Биробиджанская епархия Русской Православной Церкви (по согласованию), казачьи общества (по согласованию)</w:t>
            </w:r>
          </w:p>
        </w:tc>
        <w:tc>
          <w:tcPr>
            <w:tcW w:w="1849" w:type="dxa"/>
          </w:tcPr>
          <w:p>
            <w:pPr>
              <w:pStyle w:val="0"/>
            </w:pPr>
            <w:r>
              <w:rPr>
                <w:sz w:val="20"/>
              </w:rPr>
              <w:t xml:space="preserve">Подпункт "б" пункта 15 Стратегии</w:t>
            </w:r>
          </w:p>
        </w:tc>
        <w:tc>
          <w:tcPr>
            <w:tcW w:w="2149" w:type="dxa"/>
          </w:tcPr>
          <w:p>
            <w:pPr>
              <w:pStyle w:val="0"/>
            </w:pPr>
            <w:r>
              <w:rPr>
                <w:sz w:val="20"/>
              </w:rPr>
              <w:t xml:space="preserve">Количество участников форума</w:t>
            </w:r>
          </w:p>
        </w:tc>
      </w:tr>
      <w:tr>
        <w:tc>
          <w:tcPr>
            <w:tcW w:w="454" w:type="dxa"/>
          </w:tcPr>
          <w:p>
            <w:pPr>
              <w:pStyle w:val="0"/>
              <w:jc w:val="center"/>
            </w:pPr>
            <w:r>
              <w:rPr>
                <w:sz w:val="20"/>
              </w:rPr>
              <w:t xml:space="preserve">23</w:t>
            </w:r>
          </w:p>
        </w:tc>
        <w:tc>
          <w:tcPr>
            <w:tcW w:w="2551" w:type="dxa"/>
          </w:tcPr>
          <w:p>
            <w:pPr>
              <w:pStyle w:val="0"/>
            </w:pPr>
            <w:r>
              <w:rPr>
                <w:sz w:val="20"/>
              </w:rPr>
              <w:t xml:space="preserve">Оказание содействия участию казачьих обществ и иных объединений казаков, реализующих социально ориентированные проекты, в конкурсах на получение грантов Президента Российской Федерации и иных грантов, предоставляемых органами исполнительной власти Еврейской автономной области, формируемыми правительством Еврейской автономной области, органами местного самоуправления</w:t>
            </w:r>
          </w:p>
        </w:tc>
        <w:tc>
          <w:tcPr>
            <w:tcW w:w="1354" w:type="dxa"/>
          </w:tcPr>
          <w:p>
            <w:pPr>
              <w:pStyle w:val="0"/>
              <w:jc w:val="center"/>
            </w:pPr>
            <w:r>
              <w:rPr>
                <w:sz w:val="20"/>
              </w:rPr>
              <w:t xml:space="preserve">Ежегодно</w:t>
            </w:r>
          </w:p>
        </w:tc>
        <w:tc>
          <w:tcPr>
            <w:tcW w:w="1939" w:type="dxa"/>
          </w:tcPr>
          <w:p>
            <w:pPr>
              <w:pStyle w:val="0"/>
            </w:pPr>
            <w:r>
              <w:rPr>
                <w:sz w:val="20"/>
              </w:rPr>
              <w:t xml:space="preserve">Управление по внутренней политике Еврейской автономной области, областное государственное бюджетное учреждение "Ресурсный центр поддержки общественных инициатив "Территория действий"</w:t>
            </w:r>
          </w:p>
        </w:tc>
        <w:tc>
          <w:tcPr>
            <w:tcW w:w="1849" w:type="dxa"/>
          </w:tcPr>
          <w:p>
            <w:pPr>
              <w:pStyle w:val="0"/>
            </w:pPr>
            <w:hyperlink w:history="0" r:id="rId24"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"в" пункта 9</w:t>
              </w:r>
            </w:hyperlink>
            <w:r>
              <w:rPr>
                <w:sz w:val="20"/>
              </w:rPr>
              <w:t xml:space="preserve"> Стратегии</w:t>
            </w:r>
          </w:p>
        </w:tc>
        <w:tc>
          <w:tcPr>
            <w:tcW w:w="2149" w:type="dxa"/>
          </w:tcPr>
          <w:p>
            <w:pPr>
              <w:pStyle w:val="0"/>
            </w:pPr>
            <w:r>
              <w:rPr>
                <w:sz w:val="20"/>
              </w:rPr>
              <w:t xml:space="preserve">Количество участников мероприятий</w:t>
            </w:r>
          </w:p>
        </w:tc>
      </w:tr>
      <w:tr>
        <w:tc>
          <w:tcPr>
            <w:tcW w:w="454" w:type="dxa"/>
          </w:tcPr>
          <w:p>
            <w:pPr>
              <w:pStyle w:val="0"/>
              <w:jc w:val="center"/>
            </w:pPr>
            <w:r>
              <w:rPr>
                <w:sz w:val="20"/>
              </w:rPr>
              <w:t xml:space="preserve">24</w:t>
            </w:r>
          </w:p>
        </w:tc>
        <w:tc>
          <w:tcPr>
            <w:tcW w:w="2551" w:type="dxa"/>
          </w:tcPr>
          <w:p>
            <w:pPr>
              <w:pStyle w:val="0"/>
            </w:pPr>
            <w:r>
              <w:rPr>
                <w:sz w:val="20"/>
              </w:rPr>
              <w:t xml:space="preserve">Участие во Всероссийском конкурсе на звание "Лучший казачий класс"</w:t>
            </w:r>
          </w:p>
        </w:tc>
        <w:tc>
          <w:tcPr>
            <w:tcW w:w="1354" w:type="dxa"/>
          </w:tcPr>
          <w:p>
            <w:pPr>
              <w:pStyle w:val="0"/>
              <w:jc w:val="center"/>
            </w:pPr>
            <w:r>
              <w:rPr>
                <w:sz w:val="20"/>
              </w:rPr>
              <w:t xml:space="preserve">Ежегодно</w:t>
            </w:r>
          </w:p>
        </w:tc>
        <w:tc>
          <w:tcPr>
            <w:tcW w:w="1939" w:type="dxa"/>
          </w:tcPr>
          <w:p>
            <w:pPr>
              <w:pStyle w:val="0"/>
            </w:pPr>
            <w:r>
              <w:rPr>
                <w:sz w:val="20"/>
              </w:rPr>
              <w:t xml:space="preserve">Департамент образования Еврейской автономной области, департамент по молодежной политике правительства Еврейской автономной области, управление по внутренней политике Еврейской автономной области, казачьи общества (по согласованию)</w:t>
            </w:r>
          </w:p>
        </w:tc>
        <w:tc>
          <w:tcPr>
            <w:tcW w:w="1849" w:type="dxa"/>
          </w:tcPr>
          <w:p>
            <w:pPr>
              <w:pStyle w:val="0"/>
            </w:pPr>
            <w:hyperlink w:history="0" r:id="rId25"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"а" пункта 15</w:t>
              </w:r>
            </w:hyperlink>
            <w:r>
              <w:rPr>
                <w:sz w:val="20"/>
              </w:rPr>
              <w:t xml:space="preserve"> Стратегии</w:t>
            </w:r>
          </w:p>
        </w:tc>
        <w:tc>
          <w:tcPr>
            <w:tcW w:w="2149" w:type="dxa"/>
          </w:tcPr>
          <w:p>
            <w:pPr>
              <w:pStyle w:val="0"/>
            </w:pPr>
            <w:r>
              <w:rPr>
                <w:sz w:val="20"/>
              </w:rPr>
              <w:t xml:space="preserve">Количество образовательных организаций, принявших участие в конкурсе</w:t>
            </w:r>
          </w:p>
        </w:tc>
      </w:tr>
      <w:tr>
        <w:tc>
          <w:tcPr>
            <w:tcW w:w="454" w:type="dxa"/>
          </w:tcPr>
          <w:p>
            <w:pPr>
              <w:pStyle w:val="0"/>
              <w:jc w:val="center"/>
            </w:pPr>
            <w:r>
              <w:rPr>
                <w:sz w:val="20"/>
              </w:rPr>
              <w:t xml:space="preserve">25</w:t>
            </w:r>
          </w:p>
        </w:tc>
        <w:tc>
          <w:tcPr>
            <w:tcW w:w="2551" w:type="dxa"/>
          </w:tcPr>
          <w:p>
            <w:pPr>
              <w:pStyle w:val="0"/>
            </w:pPr>
            <w:r>
              <w:rPr>
                <w:sz w:val="20"/>
              </w:rPr>
              <w:t xml:space="preserve">Оказание содействия созданию и развитию казачьих молодежных центров военно-патриотического воспитания и подготовки казачьей молодежи к военной службе</w:t>
            </w:r>
          </w:p>
        </w:tc>
        <w:tc>
          <w:tcPr>
            <w:tcW w:w="1354" w:type="dxa"/>
          </w:tcPr>
          <w:p>
            <w:pPr>
              <w:pStyle w:val="0"/>
              <w:jc w:val="center"/>
            </w:pPr>
            <w:r>
              <w:rPr>
                <w:sz w:val="20"/>
              </w:rPr>
              <w:t xml:space="preserve">Постоянно</w:t>
            </w:r>
          </w:p>
        </w:tc>
        <w:tc>
          <w:tcPr>
            <w:tcW w:w="1939" w:type="dxa"/>
          </w:tcPr>
          <w:p>
            <w:pPr>
              <w:pStyle w:val="0"/>
            </w:pPr>
            <w:r>
              <w:rPr>
                <w:sz w:val="20"/>
              </w:rPr>
              <w:t xml:space="preserve">Департамент по молодежной политике правительства Еврейской автономной области, управление по внутренней политике Еврейской автономной области, казачьи общества (по согласованию)</w:t>
            </w:r>
          </w:p>
        </w:tc>
        <w:tc>
          <w:tcPr>
            <w:tcW w:w="1849" w:type="dxa"/>
          </w:tcPr>
          <w:p>
            <w:pPr>
              <w:pStyle w:val="0"/>
            </w:pPr>
            <w:hyperlink w:history="0" r:id="rId26"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"л" пункта 15</w:t>
              </w:r>
            </w:hyperlink>
            <w:r>
              <w:rPr>
                <w:sz w:val="20"/>
              </w:rPr>
              <w:t xml:space="preserve"> Стратегии</w:t>
            </w:r>
          </w:p>
        </w:tc>
        <w:tc>
          <w:tcPr>
            <w:tcW w:w="2149" w:type="dxa"/>
          </w:tcPr>
          <w:p>
            <w:pPr>
              <w:pStyle w:val="0"/>
            </w:pPr>
            <w:r>
              <w:rPr>
                <w:sz w:val="20"/>
              </w:rPr>
              <w:t xml:space="preserve">Количество казачьих молодежных центров военно-патриотического воспитания и подготовки казачьей молодежи к военной службе</w:t>
            </w:r>
          </w:p>
        </w:tc>
      </w:tr>
      <w:tr>
        <w:tc>
          <w:tcPr>
            <w:tcW w:w="454" w:type="dxa"/>
          </w:tcPr>
          <w:p>
            <w:pPr>
              <w:pStyle w:val="0"/>
              <w:jc w:val="center"/>
            </w:pPr>
            <w:r>
              <w:rPr>
                <w:sz w:val="20"/>
              </w:rPr>
              <w:t xml:space="preserve">26</w:t>
            </w:r>
          </w:p>
        </w:tc>
        <w:tc>
          <w:tcPr>
            <w:tcW w:w="2551" w:type="dxa"/>
          </w:tcPr>
          <w:p>
            <w:pPr>
              <w:pStyle w:val="0"/>
            </w:pPr>
            <w:r>
              <w:rPr>
                <w:sz w:val="20"/>
              </w:rPr>
              <w:t xml:space="preserve">Привлечение казачьей молодежи к участию в мероприятиях Всероссийской форумной кампании и Всероссийском конкурсе молодежных проектов</w:t>
            </w:r>
          </w:p>
        </w:tc>
        <w:tc>
          <w:tcPr>
            <w:tcW w:w="1354" w:type="dxa"/>
          </w:tcPr>
          <w:p>
            <w:pPr>
              <w:pStyle w:val="0"/>
              <w:jc w:val="center"/>
            </w:pPr>
            <w:r>
              <w:rPr>
                <w:sz w:val="20"/>
              </w:rPr>
              <w:t xml:space="preserve">Постоянно</w:t>
            </w:r>
          </w:p>
        </w:tc>
        <w:tc>
          <w:tcPr>
            <w:tcW w:w="1939" w:type="dxa"/>
          </w:tcPr>
          <w:p>
            <w:pPr>
              <w:pStyle w:val="0"/>
            </w:pPr>
            <w:r>
              <w:rPr>
                <w:sz w:val="20"/>
              </w:rPr>
              <w:t xml:space="preserve">Департамент по молодежной политике правительства Еврейской автономной области, управление по внутренней политике Еврейской автономной области, казачьи общества (по согласованию)</w:t>
            </w:r>
          </w:p>
        </w:tc>
        <w:tc>
          <w:tcPr>
            <w:tcW w:w="1849" w:type="dxa"/>
          </w:tcPr>
          <w:p>
            <w:pPr>
              <w:pStyle w:val="0"/>
            </w:pPr>
            <w:r>
              <w:rPr>
                <w:sz w:val="20"/>
              </w:rPr>
              <w:t xml:space="preserve">Подпункт "л" пункта 15 Стратегии</w:t>
            </w:r>
          </w:p>
        </w:tc>
        <w:tc>
          <w:tcPr>
            <w:tcW w:w="2149" w:type="dxa"/>
          </w:tcPr>
          <w:p>
            <w:pPr>
              <w:pStyle w:val="0"/>
            </w:pPr>
            <w:r>
              <w:rPr>
                <w:sz w:val="20"/>
              </w:rPr>
              <w:t xml:space="preserve">Количество проведенных мероприятий,</w:t>
            </w:r>
          </w:p>
          <w:p>
            <w:pPr>
              <w:pStyle w:val="0"/>
            </w:pPr>
            <w:r>
              <w:rPr>
                <w:sz w:val="20"/>
              </w:rPr>
              <w:t xml:space="preserve">количество поддержанных проектов</w:t>
            </w:r>
          </w:p>
        </w:tc>
      </w:tr>
      <w:tr>
        <w:tc>
          <w:tcPr>
            <w:tcW w:w="454" w:type="dxa"/>
          </w:tcPr>
          <w:p>
            <w:pPr>
              <w:pStyle w:val="0"/>
              <w:jc w:val="center"/>
            </w:pPr>
            <w:r>
              <w:rPr>
                <w:sz w:val="20"/>
              </w:rPr>
              <w:t xml:space="preserve">27</w:t>
            </w:r>
          </w:p>
        </w:tc>
        <w:tc>
          <w:tcPr>
            <w:tcW w:w="2551" w:type="dxa"/>
          </w:tcPr>
          <w:p>
            <w:pPr>
              <w:pStyle w:val="0"/>
            </w:pPr>
            <w:r>
              <w:rPr>
                <w:sz w:val="20"/>
              </w:rPr>
              <w:t xml:space="preserve">Участие во Всероссийском форуме (слете) казачьей молодежи</w:t>
            </w:r>
          </w:p>
        </w:tc>
        <w:tc>
          <w:tcPr>
            <w:tcW w:w="1354" w:type="dxa"/>
          </w:tcPr>
          <w:p>
            <w:pPr>
              <w:pStyle w:val="0"/>
              <w:jc w:val="center"/>
            </w:pPr>
            <w:r>
              <w:rPr>
                <w:sz w:val="20"/>
              </w:rPr>
              <w:t xml:space="preserve">Ежегодно</w:t>
            </w:r>
          </w:p>
        </w:tc>
        <w:tc>
          <w:tcPr>
            <w:tcW w:w="1939" w:type="dxa"/>
          </w:tcPr>
          <w:p>
            <w:pPr>
              <w:pStyle w:val="0"/>
            </w:pPr>
            <w:r>
              <w:rPr>
                <w:sz w:val="20"/>
              </w:rPr>
              <w:t xml:space="preserve">Департамент по молодежной политике правительства Еврейской автономной области, управление по внутренней политике Еврейской автономной области, казачьи общества (по согласованию)</w:t>
            </w:r>
          </w:p>
        </w:tc>
        <w:tc>
          <w:tcPr>
            <w:tcW w:w="1849" w:type="dxa"/>
          </w:tcPr>
          <w:p>
            <w:pPr>
              <w:pStyle w:val="0"/>
            </w:pPr>
            <w:hyperlink w:history="0" r:id="rId27"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"б" пункта 15</w:t>
              </w:r>
            </w:hyperlink>
            <w:r>
              <w:rPr>
                <w:sz w:val="20"/>
              </w:rPr>
              <w:t xml:space="preserve"> Стратегии</w:t>
            </w:r>
          </w:p>
        </w:tc>
        <w:tc>
          <w:tcPr>
            <w:tcW w:w="2149" w:type="dxa"/>
          </w:tcPr>
          <w:p>
            <w:pPr>
              <w:pStyle w:val="0"/>
            </w:pPr>
            <w:r>
              <w:rPr>
                <w:sz w:val="20"/>
              </w:rPr>
              <w:t xml:space="preserve">Количество участников форума</w:t>
            </w:r>
          </w:p>
        </w:tc>
      </w:tr>
      <w:tr>
        <w:tc>
          <w:tcPr>
            <w:gridSpan w:val="6"/>
            <w:tcW w:w="10296" w:type="dxa"/>
          </w:tcPr>
          <w:p>
            <w:pPr>
              <w:pStyle w:val="0"/>
              <w:outlineLvl w:val="1"/>
              <w:jc w:val="center"/>
            </w:pPr>
            <w:r>
              <w:rPr>
                <w:sz w:val="20"/>
              </w:rPr>
              <w:t xml:space="preserve">IV. Содействие сохранению и развитию культуры российского казачества</w:t>
            </w:r>
          </w:p>
        </w:tc>
      </w:tr>
      <w:tr>
        <w:tc>
          <w:tcPr>
            <w:tcW w:w="454" w:type="dxa"/>
          </w:tcPr>
          <w:p>
            <w:pPr>
              <w:pStyle w:val="0"/>
              <w:jc w:val="center"/>
            </w:pPr>
            <w:r>
              <w:rPr>
                <w:sz w:val="20"/>
              </w:rPr>
              <w:t xml:space="preserve">28</w:t>
            </w:r>
          </w:p>
        </w:tc>
        <w:tc>
          <w:tcPr>
            <w:tcW w:w="2551" w:type="dxa"/>
          </w:tcPr>
          <w:p>
            <w:pPr>
              <w:pStyle w:val="0"/>
            </w:pPr>
            <w:r>
              <w:rPr>
                <w:sz w:val="20"/>
              </w:rPr>
              <w:t xml:space="preserve">Участие во Всероссийском фольклорном конкурсе "Казачий круг"</w:t>
            </w:r>
          </w:p>
        </w:tc>
        <w:tc>
          <w:tcPr>
            <w:tcW w:w="1354" w:type="dxa"/>
          </w:tcPr>
          <w:p>
            <w:pPr>
              <w:pStyle w:val="0"/>
              <w:jc w:val="center"/>
            </w:pPr>
            <w:r>
              <w:rPr>
                <w:sz w:val="20"/>
              </w:rPr>
              <w:t xml:space="preserve">Ежегодно</w:t>
            </w:r>
          </w:p>
        </w:tc>
        <w:tc>
          <w:tcPr>
            <w:tcW w:w="1939" w:type="dxa"/>
          </w:tcPr>
          <w:p>
            <w:pPr>
              <w:pStyle w:val="0"/>
            </w:pPr>
            <w:r>
              <w:rPr>
                <w:sz w:val="20"/>
              </w:rPr>
              <w:t xml:space="preserve">Департамент культуры правительства Еврейской автономной области, органы местного самоуправления (по согласованию), казачьи общества (по согласованию)</w:t>
            </w:r>
          </w:p>
        </w:tc>
        <w:tc>
          <w:tcPr>
            <w:tcW w:w="1849" w:type="dxa"/>
          </w:tcPr>
          <w:p>
            <w:pPr>
              <w:pStyle w:val="0"/>
            </w:pPr>
            <w:hyperlink w:history="0" r:id="rId28"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"в" пункта 16</w:t>
              </w:r>
            </w:hyperlink>
            <w:r>
              <w:rPr>
                <w:sz w:val="20"/>
              </w:rPr>
              <w:t xml:space="preserve"> Стратегии</w:t>
            </w:r>
          </w:p>
        </w:tc>
        <w:tc>
          <w:tcPr>
            <w:tcW w:w="2149" w:type="dxa"/>
          </w:tcPr>
          <w:p>
            <w:pPr>
              <w:pStyle w:val="0"/>
            </w:pPr>
            <w:r>
              <w:rPr>
                <w:sz w:val="20"/>
              </w:rPr>
              <w:t xml:space="preserve">Количество участников конкурса, количество зрителей</w:t>
            </w:r>
          </w:p>
        </w:tc>
      </w:tr>
      <w:tr>
        <w:tc>
          <w:tcPr>
            <w:tcW w:w="454" w:type="dxa"/>
          </w:tcPr>
          <w:p>
            <w:pPr>
              <w:pStyle w:val="0"/>
              <w:jc w:val="center"/>
            </w:pPr>
            <w:r>
              <w:rPr>
                <w:sz w:val="20"/>
              </w:rPr>
              <w:t xml:space="preserve">29</w:t>
            </w:r>
          </w:p>
        </w:tc>
        <w:tc>
          <w:tcPr>
            <w:tcW w:w="2551" w:type="dxa"/>
          </w:tcPr>
          <w:p>
            <w:pPr>
              <w:pStyle w:val="0"/>
            </w:pPr>
            <w:r>
              <w:rPr>
                <w:sz w:val="20"/>
              </w:rPr>
              <w:t xml:space="preserve">Поддержка мероприятий в сфере культуры российского казачества</w:t>
            </w:r>
          </w:p>
        </w:tc>
        <w:tc>
          <w:tcPr>
            <w:tcW w:w="1354" w:type="dxa"/>
          </w:tcPr>
          <w:p>
            <w:pPr>
              <w:pStyle w:val="0"/>
              <w:jc w:val="center"/>
            </w:pPr>
            <w:r>
              <w:rPr>
                <w:sz w:val="20"/>
              </w:rPr>
              <w:t xml:space="preserve">Ежегодно</w:t>
            </w:r>
          </w:p>
        </w:tc>
        <w:tc>
          <w:tcPr>
            <w:tcW w:w="1939" w:type="dxa"/>
          </w:tcPr>
          <w:p>
            <w:pPr>
              <w:pStyle w:val="0"/>
            </w:pPr>
            <w:r>
              <w:rPr>
                <w:sz w:val="20"/>
              </w:rPr>
              <w:t xml:space="preserve">Департамент культуры правительства Еврейской автономной области, органы местного самоуправления (по согласованию), казачьи общества (по согласованию)</w:t>
            </w:r>
          </w:p>
        </w:tc>
        <w:tc>
          <w:tcPr>
            <w:tcW w:w="1849" w:type="dxa"/>
          </w:tcPr>
          <w:p>
            <w:pPr>
              <w:pStyle w:val="0"/>
            </w:pPr>
            <w:r>
              <w:rPr>
                <w:sz w:val="20"/>
              </w:rPr>
              <w:t xml:space="preserve">Подпункт "в" пункта 16 Стратегии</w:t>
            </w:r>
          </w:p>
        </w:tc>
        <w:tc>
          <w:tcPr>
            <w:tcW w:w="2149" w:type="dxa"/>
          </w:tcPr>
          <w:p>
            <w:pPr>
              <w:pStyle w:val="0"/>
            </w:pPr>
            <w:r>
              <w:rPr>
                <w:sz w:val="20"/>
              </w:rPr>
              <w:t xml:space="preserve">Количество проведенных мероприятий, количество участников мероприятий</w:t>
            </w:r>
          </w:p>
        </w:tc>
      </w:tr>
      <w:tr>
        <w:tc>
          <w:tcPr>
            <w:tcW w:w="454" w:type="dxa"/>
          </w:tcPr>
          <w:p>
            <w:pPr>
              <w:pStyle w:val="0"/>
              <w:jc w:val="center"/>
            </w:pPr>
            <w:r>
              <w:rPr>
                <w:sz w:val="20"/>
              </w:rPr>
              <w:t xml:space="preserve">30</w:t>
            </w:r>
          </w:p>
        </w:tc>
        <w:tc>
          <w:tcPr>
            <w:tcW w:w="2551" w:type="dxa"/>
          </w:tcPr>
          <w:p>
            <w:pPr>
              <w:pStyle w:val="0"/>
            </w:pPr>
            <w:r>
              <w:rPr>
                <w:sz w:val="20"/>
              </w:rPr>
              <w:t xml:space="preserve">Привлечение творческих коллективов и исполнителей к участию в культурно-просветительских проектах, информационно-агитационных акциях и других мероприятиях</w:t>
            </w:r>
          </w:p>
        </w:tc>
        <w:tc>
          <w:tcPr>
            <w:tcW w:w="1354" w:type="dxa"/>
          </w:tcPr>
          <w:p>
            <w:pPr>
              <w:pStyle w:val="0"/>
              <w:jc w:val="center"/>
            </w:pPr>
            <w:r>
              <w:rPr>
                <w:sz w:val="20"/>
              </w:rPr>
              <w:t xml:space="preserve">Постоянно</w:t>
            </w:r>
          </w:p>
        </w:tc>
        <w:tc>
          <w:tcPr>
            <w:tcW w:w="1939" w:type="dxa"/>
          </w:tcPr>
          <w:p>
            <w:pPr>
              <w:pStyle w:val="0"/>
            </w:pPr>
            <w:r>
              <w:rPr>
                <w:sz w:val="20"/>
              </w:rPr>
              <w:t xml:space="preserve">Департамент культуры правительства Еврейской автономной области, органы местного самоуправления (по согласованию), казачьи общества (по согласованию)</w:t>
            </w:r>
          </w:p>
        </w:tc>
        <w:tc>
          <w:tcPr>
            <w:tcW w:w="1849" w:type="dxa"/>
          </w:tcPr>
          <w:p>
            <w:pPr>
              <w:pStyle w:val="0"/>
            </w:pPr>
            <w:hyperlink w:history="0" r:id="rId29"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"е" пункта 15</w:t>
              </w:r>
            </w:hyperlink>
            <w:r>
              <w:rPr>
                <w:sz w:val="20"/>
              </w:rPr>
              <w:t xml:space="preserve"> Стратегии</w:t>
            </w:r>
          </w:p>
        </w:tc>
        <w:tc>
          <w:tcPr>
            <w:tcW w:w="2149" w:type="dxa"/>
          </w:tcPr>
          <w:p>
            <w:pPr>
              <w:pStyle w:val="0"/>
            </w:pPr>
            <w:r>
              <w:rPr>
                <w:sz w:val="20"/>
              </w:rPr>
              <w:t xml:space="preserve">Количество проведенных мероприятий</w:t>
            </w:r>
          </w:p>
        </w:tc>
      </w:tr>
      <w:tr>
        <w:tc>
          <w:tcPr>
            <w:tcW w:w="454" w:type="dxa"/>
          </w:tcPr>
          <w:p>
            <w:pPr>
              <w:pStyle w:val="0"/>
              <w:jc w:val="center"/>
            </w:pPr>
            <w:r>
              <w:rPr>
                <w:sz w:val="20"/>
              </w:rPr>
              <w:t xml:space="preserve">31</w:t>
            </w:r>
          </w:p>
        </w:tc>
        <w:tc>
          <w:tcPr>
            <w:tcW w:w="2551" w:type="dxa"/>
          </w:tcPr>
          <w:p>
            <w:pPr>
              <w:pStyle w:val="0"/>
            </w:pPr>
            <w:r>
              <w:rPr>
                <w:sz w:val="20"/>
              </w:rPr>
              <w:t xml:space="preserve">Организация выступлений казачьих творческих коллективов и исполнителей перед личным составом комплектуемых членами казачьих обществ и иных объединений казаков воинских частей, добровольческих формирований в составе Вооруженных Сил Российской Федерации</w:t>
            </w:r>
          </w:p>
        </w:tc>
        <w:tc>
          <w:tcPr>
            <w:tcW w:w="1354" w:type="dxa"/>
          </w:tcPr>
          <w:p>
            <w:pPr>
              <w:pStyle w:val="0"/>
              <w:jc w:val="center"/>
            </w:pPr>
            <w:r>
              <w:rPr>
                <w:sz w:val="20"/>
              </w:rPr>
              <w:t xml:space="preserve">Постоянно</w:t>
            </w:r>
          </w:p>
        </w:tc>
        <w:tc>
          <w:tcPr>
            <w:tcW w:w="1939" w:type="dxa"/>
          </w:tcPr>
          <w:p>
            <w:pPr>
              <w:pStyle w:val="0"/>
            </w:pPr>
            <w:r>
              <w:rPr>
                <w:sz w:val="20"/>
              </w:rPr>
              <w:t xml:space="preserve">Департамент культуры правительства Еврейской автономной области, органы местного самоуправления (по согласованию), казачьи общества (по согласованию)</w:t>
            </w:r>
          </w:p>
        </w:tc>
        <w:tc>
          <w:tcPr>
            <w:tcW w:w="1849" w:type="dxa"/>
          </w:tcPr>
          <w:p>
            <w:pPr>
              <w:pStyle w:val="0"/>
            </w:pPr>
            <w:hyperlink w:history="0" r:id="rId30"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"е" пункта 16</w:t>
              </w:r>
            </w:hyperlink>
            <w:r>
              <w:rPr>
                <w:sz w:val="20"/>
              </w:rPr>
              <w:t xml:space="preserve"> Стратегии</w:t>
            </w:r>
          </w:p>
        </w:tc>
        <w:tc>
          <w:tcPr>
            <w:tcW w:w="2149" w:type="dxa"/>
          </w:tcPr>
          <w:p>
            <w:pPr>
              <w:pStyle w:val="0"/>
            </w:pPr>
            <w:r>
              <w:rPr>
                <w:sz w:val="20"/>
              </w:rPr>
              <w:t xml:space="preserve">Количество проведенных мероприятий</w:t>
            </w:r>
          </w:p>
        </w:tc>
      </w:tr>
      <w:tr>
        <w:tc>
          <w:tcPr>
            <w:tcW w:w="454" w:type="dxa"/>
          </w:tcPr>
          <w:p>
            <w:pPr>
              <w:pStyle w:val="0"/>
              <w:jc w:val="center"/>
            </w:pPr>
            <w:r>
              <w:rPr>
                <w:sz w:val="20"/>
              </w:rPr>
              <w:t xml:space="preserve">32</w:t>
            </w:r>
          </w:p>
        </w:tc>
        <w:tc>
          <w:tcPr>
            <w:tcW w:w="2551" w:type="dxa"/>
          </w:tcPr>
          <w:p>
            <w:pPr>
              <w:pStyle w:val="0"/>
            </w:pPr>
            <w:r>
              <w:rPr>
                <w:sz w:val="20"/>
              </w:rPr>
              <w:t xml:space="preserve">Мониторинг состояния казачьей культуры в Еврейской автономной области</w:t>
            </w:r>
          </w:p>
        </w:tc>
        <w:tc>
          <w:tcPr>
            <w:tcW w:w="1354" w:type="dxa"/>
          </w:tcPr>
          <w:p>
            <w:pPr>
              <w:pStyle w:val="0"/>
              <w:jc w:val="center"/>
            </w:pPr>
            <w:r>
              <w:rPr>
                <w:sz w:val="20"/>
              </w:rPr>
              <w:t xml:space="preserve">1 раз в 2 года (начиная с 2024 года)</w:t>
            </w:r>
          </w:p>
        </w:tc>
        <w:tc>
          <w:tcPr>
            <w:tcW w:w="1939" w:type="dxa"/>
          </w:tcPr>
          <w:p>
            <w:pPr>
              <w:pStyle w:val="0"/>
            </w:pPr>
            <w:r>
              <w:rPr>
                <w:sz w:val="20"/>
              </w:rPr>
              <w:t xml:space="preserve">Департамент культуры правительства Еврейской автономной области, департамент образования Еврейской автономной области, казачьи общества (по согласованию)</w:t>
            </w:r>
          </w:p>
        </w:tc>
        <w:tc>
          <w:tcPr>
            <w:tcW w:w="1849" w:type="dxa"/>
          </w:tcPr>
          <w:p>
            <w:pPr>
              <w:pStyle w:val="0"/>
            </w:pPr>
            <w:hyperlink w:history="0" r:id="rId31"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"г" пункта 16</w:t>
              </w:r>
            </w:hyperlink>
            <w:r>
              <w:rPr>
                <w:sz w:val="20"/>
              </w:rPr>
              <w:t xml:space="preserve"> Стратегии</w:t>
            </w:r>
          </w:p>
        </w:tc>
        <w:tc>
          <w:tcPr>
            <w:tcW w:w="2149" w:type="dxa"/>
          </w:tcPr>
          <w:p>
            <w:pPr>
              <w:pStyle w:val="0"/>
            </w:pPr>
            <w:r>
              <w:rPr>
                <w:sz w:val="20"/>
              </w:rPr>
              <w:t xml:space="preserve">Количество проведенных мониторингов</w:t>
            </w:r>
          </w:p>
        </w:tc>
      </w:tr>
      <w:tr>
        <w:tc>
          <w:tcPr>
            <w:gridSpan w:val="6"/>
            <w:tcW w:w="10296" w:type="dxa"/>
          </w:tcPr>
          <w:p>
            <w:pPr>
              <w:pStyle w:val="0"/>
              <w:outlineLvl w:val="1"/>
              <w:jc w:val="center"/>
            </w:pPr>
            <w:r>
              <w:rPr>
                <w:sz w:val="20"/>
              </w:rPr>
              <w:t xml:space="preserve">V. Поддержка социально-экономического развития российского казачества</w:t>
            </w:r>
          </w:p>
        </w:tc>
      </w:tr>
      <w:tr>
        <w:tc>
          <w:tcPr>
            <w:tcW w:w="454" w:type="dxa"/>
          </w:tcPr>
          <w:p>
            <w:pPr>
              <w:pStyle w:val="0"/>
              <w:jc w:val="center"/>
            </w:pPr>
            <w:r>
              <w:rPr>
                <w:sz w:val="20"/>
              </w:rPr>
              <w:t xml:space="preserve">33</w:t>
            </w:r>
          </w:p>
        </w:tc>
        <w:tc>
          <w:tcPr>
            <w:tcW w:w="2551" w:type="dxa"/>
          </w:tcPr>
          <w:p>
            <w:pPr>
              <w:pStyle w:val="0"/>
            </w:pPr>
            <w:r>
              <w:rPr>
                <w:sz w:val="20"/>
              </w:rPr>
              <w:t xml:space="preserve">Мониторинг мер государственной поддержки казачьих обществ и иных объединений казаков в рамках законодательства Российской Федерации</w:t>
            </w:r>
          </w:p>
        </w:tc>
        <w:tc>
          <w:tcPr>
            <w:tcW w:w="1354" w:type="dxa"/>
          </w:tcPr>
          <w:p>
            <w:pPr>
              <w:pStyle w:val="0"/>
              <w:jc w:val="center"/>
            </w:pPr>
            <w:r>
              <w:rPr>
                <w:sz w:val="20"/>
              </w:rPr>
              <w:t xml:space="preserve">Ежегодно</w:t>
            </w:r>
          </w:p>
        </w:tc>
        <w:tc>
          <w:tcPr>
            <w:tcW w:w="1939" w:type="dxa"/>
          </w:tcPr>
          <w:p>
            <w:pPr>
              <w:pStyle w:val="0"/>
            </w:pPr>
            <w:r>
              <w:rPr>
                <w:sz w:val="20"/>
              </w:rPr>
              <w:t xml:space="preserve">Управление по внутренней политике Еврейской автономной области</w:t>
            </w:r>
          </w:p>
        </w:tc>
        <w:tc>
          <w:tcPr>
            <w:tcW w:w="1849" w:type="dxa"/>
          </w:tcPr>
          <w:p>
            <w:pPr>
              <w:pStyle w:val="0"/>
            </w:pPr>
            <w:hyperlink w:history="0" r:id="rId32"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"а" пункта 14</w:t>
              </w:r>
            </w:hyperlink>
            <w:r>
              <w:rPr>
                <w:sz w:val="20"/>
              </w:rPr>
              <w:t xml:space="preserve"> Стратегии</w:t>
            </w:r>
          </w:p>
        </w:tc>
        <w:tc>
          <w:tcPr>
            <w:tcW w:w="2149" w:type="dxa"/>
          </w:tcPr>
          <w:p>
            <w:pPr>
              <w:pStyle w:val="0"/>
            </w:pPr>
            <w:r>
              <w:rPr>
                <w:sz w:val="20"/>
              </w:rPr>
              <w:t xml:space="preserve">Количество казачьих обществ и иных объединений казаков, привлеченных к реализации государственных и муниципальных программ и приоритетных национальных проектов</w:t>
            </w:r>
          </w:p>
        </w:tc>
      </w:tr>
      <w:tr>
        <w:tc>
          <w:tcPr>
            <w:tcW w:w="454" w:type="dxa"/>
          </w:tcPr>
          <w:p>
            <w:pPr>
              <w:pStyle w:val="0"/>
              <w:jc w:val="center"/>
            </w:pPr>
            <w:r>
              <w:rPr>
                <w:sz w:val="20"/>
              </w:rPr>
              <w:t xml:space="preserve">34</w:t>
            </w:r>
          </w:p>
        </w:tc>
        <w:tc>
          <w:tcPr>
            <w:tcW w:w="2551" w:type="dxa"/>
          </w:tcPr>
          <w:p>
            <w:pPr>
              <w:pStyle w:val="0"/>
            </w:pPr>
            <w:r>
              <w:rPr>
                <w:sz w:val="20"/>
              </w:rPr>
              <w:t xml:space="preserve">Информирование членов казачьих обществ о действующих мерах поддержки в сфере сельскохозяйственного производства</w:t>
            </w:r>
          </w:p>
        </w:tc>
        <w:tc>
          <w:tcPr>
            <w:tcW w:w="1354" w:type="dxa"/>
          </w:tcPr>
          <w:p>
            <w:pPr>
              <w:pStyle w:val="0"/>
              <w:jc w:val="center"/>
            </w:pPr>
            <w:r>
              <w:rPr>
                <w:sz w:val="20"/>
              </w:rPr>
              <w:t xml:space="preserve">Ежегодно</w:t>
            </w:r>
          </w:p>
        </w:tc>
        <w:tc>
          <w:tcPr>
            <w:tcW w:w="1939" w:type="dxa"/>
          </w:tcPr>
          <w:p>
            <w:pPr>
              <w:pStyle w:val="0"/>
            </w:pPr>
            <w:r>
              <w:rPr>
                <w:sz w:val="20"/>
              </w:rPr>
              <w:t xml:space="preserve">Департамент промышленности и сельского хозяйства правительства Еврейской автономной области, органы местного самоуправления (по согласованию), казачьи общества (по согласованию)</w:t>
            </w:r>
          </w:p>
        </w:tc>
        <w:tc>
          <w:tcPr>
            <w:tcW w:w="1849" w:type="dxa"/>
          </w:tcPr>
          <w:p>
            <w:pPr>
              <w:pStyle w:val="0"/>
            </w:pPr>
            <w:hyperlink w:history="0" r:id="rId33"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"г" пункта 16</w:t>
              </w:r>
            </w:hyperlink>
            <w:r>
              <w:rPr>
                <w:sz w:val="20"/>
              </w:rPr>
              <w:t xml:space="preserve"> Стратегии</w:t>
            </w:r>
          </w:p>
        </w:tc>
        <w:tc>
          <w:tcPr>
            <w:tcW w:w="2149" w:type="dxa"/>
          </w:tcPr>
          <w:p>
            <w:pPr>
              <w:pStyle w:val="0"/>
            </w:pPr>
            <w:r>
              <w:rPr>
                <w:sz w:val="20"/>
              </w:rPr>
              <w:t xml:space="preserve">Количество членов казачьих обществ, получивших информационную поддержку</w:t>
            </w:r>
          </w:p>
        </w:tc>
      </w:tr>
      <w:tr>
        <w:tc>
          <w:tcPr>
            <w:tcW w:w="454" w:type="dxa"/>
          </w:tcPr>
          <w:p>
            <w:pPr>
              <w:pStyle w:val="0"/>
              <w:jc w:val="center"/>
            </w:pPr>
            <w:r>
              <w:rPr>
                <w:sz w:val="20"/>
              </w:rPr>
              <w:t xml:space="preserve">35</w:t>
            </w:r>
          </w:p>
        </w:tc>
        <w:tc>
          <w:tcPr>
            <w:tcW w:w="2551" w:type="dxa"/>
          </w:tcPr>
          <w:p>
            <w:pPr>
              <w:pStyle w:val="0"/>
            </w:pPr>
            <w:r>
              <w:rPr>
                <w:sz w:val="20"/>
              </w:rPr>
              <w:t xml:space="preserve">Информирование предприятий (хозяйствующих субъектов) казачьих обществ об условиях участия в Российской агропромышленной выставке "Золотая осень"</w:t>
            </w:r>
          </w:p>
        </w:tc>
        <w:tc>
          <w:tcPr>
            <w:tcW w:w="1354" w:type="dxa"/>
          </w:tcPr>
          <w:p>
            <w:pPr>
              <w:pStyle w:val="0"/>
              <w:jc w:val="center"/>
            </w:pPr>
            <w:r>
              <w:rPr>
                <w:sz w:val="20"/>
              </w:rPr>
              <w:t xml:space="preserve">Ежегодно</w:t>
            </w:r>
          </w:p>
        </w:tc>
        <w:tc>
          <w:tcPr>
            <w:tcW w:w="1939" w:type="dxa"/>
          </w:tcPr>
          <w:p>
            <w:pPr>
              <w:pStyle w:val="0"/>
            </w:pPr>
            <w:r>
              <w:rPr>
                <w:sz w:val="20"/>
              </w:rPr>
              <w:t xml:space="preserve">Департамент промышленности и сельского хозяйства правительства Еврейской автономной области, органы местного самоуправления (по согласованию), казачьи общества (по согласованию)</w:t>
            </w:r>
          </w:p>
        </w:tc>
        <w:tc>
          <w:tcPr>
            <w:tcW w:w="1849" w:type="dxa"/>
          </w:tcPr>
          <w:p>
            <w:pPr>
              <w:pStyle w:val="0"/>
            </w:pPr>
            <w:r>
              <w:rPr>
                <w:sz w:val="20"/>
              </w:rPr>
              <w:t xml:space="preserve">Подпункт "г" пункта 16 Стратегии</w:t>
            </w:r>
          </w:p>
        </w:tc>
        <w:tc>
          <w:tcPr>
            <w:tcW w:w="2149" w:type="dxa"/>
          </w:tcPr>
          <w:p>
            <w:pPr>
              <w:pStyle w:val="0"/>
            </w:pPr>
            <w:r>
              <w:rPr>
                <w:sz w:val="20"/>
              </w:rPr>
              <w:t xml:space="preserve">Количество предприятий (хозяйствующих субъектов) казачьих обществ, принявших участие в выставке</w:t>
            </w:r>
          </w:p>
        </w:tc>
      </w:tr>
      <w:tr>
        <w:tc>
          <w:tcPr>
            <w:tcW w:w="454" w:type="dxa"/>
          </w:tcPr>
          <w:p>
            <w:pPr>
              <w:pStyle w:val="0"/>
              <w:jc w:val="center"/>
            </w:pPr>
            <w:r>
              <w:rPr>
                <w:sz w:val="20"/>
              </w:rPr>
              <w:t xml:space="preserve">36</w:t>
            </w:r>
          </w:p>
        </w:tc>
        <w:tc>
          <w:tcPr>
            <w:tcW w:w="2551" w:type="dxa"/>
          </w:tcPr>
          <w:p>
            <w:pPr>
              <w:pStyle w:val="0"/>
            </w:pPr>
            <w:r>
              <w:rPr>
                <w:sz w:val="20"/>
              </w:rPr>
              <w:t xml:space="preserve">Содействие привлечению частных охранных организаций, учрежденных войсковыми казачьими обществами, к обеспечению охраны объектов социальной сферы различных форм собственности</w:t>
            </w:r>
          </w:p>
        </w:tc>
        <w:tc>
          <w:tcPr>
            <w:tcW w:w="1354" w:type="dxa"/>
          </w:tcPr>
          <w:p>
            <w:pPr>
              <w:pStyle w:val="0"/>
              <w:jc w:val="center"/>
            </w:pPr>
            <w:r>
              <w:rPr>
                <w:sz w:val="20"/>
              </w:rPr>
              <w:t xml:space="preserve">Постоянно</w:t>
            </w:r>
          </w:p>
        </w:tc>
        <w:tc>
          <w:tcPr>
            <w:tcW w:w="1939" w:type="dxa"/>
          </w:tcPr>
          <w:p>
            <w:pPr>
              <w:pStyle w:val="0"/>
            </w:pPr>
            <w:r>
              <w:rPr>
                <w:sz w:val="20"/>
              </w:rPr>
              <w:t xml:space="preserve">Департамент региональной безопасности Еврейской автономной области, управление по внутренней политике Еврейской автономной области, казачьи общества (по согласованию), объединения казаков (по согласованию), органы местного самоуправления (по согласованию)</w:t>
            </w:r>
          </w:p>
        </w:tc>
        <w:tc>
          <w:tcPr>
            <w:tcW w:w="1849" w:type="dxa"/>
          </w:tcPr>
          <w:p>
            <w:pPr>
              <w:pStyle w:val="0"/>
            </w:pPr>
            <w:hyperlink w:history="0" r:id="rId34"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"д" пункта 17</w:t>
              </w:r>
            </w:hyperlink>
            <w:r>
              <w:rPr>
                <w:sz w:val="20"/>
              </w:rPr>
              <w:t xml:space="preserve"> Стратегии</w:t>
            </w:r>
          </w:p>
        </w:tc>
        <w:tc>
          <w:tcPr>
            <w:tcW w:w="2149" w:type="dxa"/>
          </w:tcPr>
          <w:p>
            <w:pPr>
              <w:pStyle w:val="0"/>
            </w:pPr>
            <w:r>
              <w:rPr>
                <w:sz w:val="20"/>
              </w:rPr>
              <w:t xml:space="preserve">Количество частных охранных организаций, учрежденных войсковыми казачьими обществами, привлеченных к обеспечению охраны объектов социальной сферы различных форм собственности</w:t>
            </w:r>
          </w:p>
        </w:tc>
      </w:tr>
      <w:tr>
        <w:tc>
          <w:tcPr>
            <w:gridSpan w:val="6"/>
            <w:tcW w:w="10296" w:type="dxa"/>
          </w:tcPr>
          <w:p>
            <w:pPr>
              <w:pStyle w:val="0"/>
              <w:outlineLvl w:val="1"/>
              <w:jc w:val="center"/>
            </w:pPr>
            <w:r>
              <w:rPr>
                <w:sz w:val="20"/>
              </w:rPr>
              <w:t xml:space="preserve">VI. Совершенствование информационного обеспечения взаимодействия органов исполнительной власти Еврейской автономной области, формируемых правительством Еврейской автономной области, и органов местного самоуправления с казачьими обществами, расширение информирования общественности о деятельности российского казачества</w:t>
            </w:r>
          </w:p>
        </w:tc>
      </w:tr>
      <w:tr>
        <w:tc>
          <w:tcPr>
            <w:tcW w:w="454" w:type="dxa"/>
          </w:tcPr>
          <w:p>
            <w:pPr>
              <w:pStyle w:val="0"/>
              <w:jc w:val="center"/>
            </w:pPr>
            <w:r>
              <w:rPr>
                <w:sz w:val="20"/>
              </w:rPr>
              <w:t xml:space="preserve">37</w:t>
            </w:r>
          </w:p>
        </w:tc>
        <w:tc>
          <w:tcPr>
            <w:tcW w:w="2551" w:type="dxa"/>
          </w:tcPr>
          <w:p>
            <w:pPr>
              <w:pStyle w:val="0"/>
            </w:pPr>
            <w:r>
              <w:rPr>
                <w:sz w:val="20"/>
              </w:rPr>
              <w:t xml:space="preserve">Организация и проведение мероприятий по популяризации деятельности российского казачества среди молодежи</w:t>
            </w:r>
          </w:p>
        </w:tc>
        <w:tc>
          <w:tcPr>
            <w:tcW w:w="1354" w:type="dxa"/>
          </w:tcPr>
          <w:p>
            <w:pPr>
              <w:pStyle w:val="0"/>
              <w:jc w:val="center"/>
            </w:pPr>
            <w:r>
              <w:rPr>
                <w:sz w:val="20"/>
              </w:rPr>
              <w:t xml:space="preserve">Постоянно</w:t>
            </w:r>
          </w:p>
        </w:tc>
        <w:tc>
          <w:tcPr>
            <w:tcW w:w="1939" w:type="dxa"/>
          </w:tcPr>
          <w:p>
            <w:pPr>
              <w:pStyle w:val="0"/>
            </w:pPr>
            <w:r>
              <w:rPr>
                <w:sz w:val="20"/>
              </w:rPr>
              <w:t xml:space="preserve">Департамент по молодежной политике правительства Еврейской автономной области, управление по внутренней политике Еврейской автономной области, казачьи общества (по согласованию), иные объединения казаков (по согласованию), органы местного самоуправления (по согласованию)</w:t>
            </w:r>
          </w:p>
        </w:tc>
        <w:tc>
          <w:tcPr>
            <w:tcW w:w="1849" w:type="dxa"/>
          </w:tcPr>
          <w:p>
            <w:pPr>
              <w:pStyle w:val="0"/>
            </w:pPr>
            <w:hyperlink w:history="0" r:id="rId35"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"г" пункта 19</w:t>
              </w:r>
            </w:hyperlink>
            <w:r>
              <w:rPr>
                <w:sz w:val="20"/>
              </w:rPr>
              <w:t xml:space="preserve"> Стратегии</w:t>
            </w:r>
          </w:p>
        </w:tc>
        <w:tc>
          <w:tcPr>
            <w:tcW w:w="2149" w:type="dxa"/>
          </w:tcPr>
          <w:p>
            <w:pPr>
              <w:pStyle w:val="0"/>
            </w:pPr>
            <w:r>
              <w:rPr>
                <w:sz w:val="20"/>
              </w:rPr>
              <w:t xml:space="preserve">Количество проведенных мероприятий, количество участников мероприятий из числа молодежи</w:t>
            </w:r>
          </w:p>
        </w:tc>
      </w:tr>
      <w:tr>
        <w:tc>
          <w:tcPr>
            <w:tcW w:w="454" w:type="dxa"/>
          </w:tcPr>
          <w:p>
            <w:pPr>
              <w:pStyle w:val="0"/>
              <w:jc w:val="center"/>
            </w:pPr>
            <w:r>
              <w:rPr>
                <w:sz w:val="20"/>
              </w:rPr>
              <w:t xml:space="preserve">38</w:t>
            </w:r>
          </w:p>
        </w:tc>
        <w:tc>
          <w:tcPr>
            <w:tcW w:w="2551" w:type="dxa"/>
          </w:tcPr>
          <w:p>
            <w:pPr>
              <w:pStyle w:val="0"/>
            </w:pPr>
            <w:r>
              <w:rPr>
                <w:sz w:val="20"/>
              </w:rPr>
              <w:t xml:space="preserve">Информационное сопровождение реализации Стратегии</w:t>
            </w:r>
          </w:p>
        </w:tc>
        <w:tc>
          <w:tcPr>
            <w:tcW w:w="1354" w:type="dxa"/>
          </w:tcPr>
          <w:p>
            <w:pPr>
              <w:pStyle w:val="0"/>
              <w:jc w:val="center"/>
            </w:pPr>
            <w:r>
              <w:rPr>
                <w:sz w:val="20"/>
              </w:rPr>
              <w:t xml:space="preserve">Постоянно</w:t>
            </w:r>
          </w:p>
        </w:tc>
        <w:tc>
          <w:tcPr>
            <w:tcW w:w="1939" w:type="dxa"/>
          </w:tcPr>
          <w:p>
            <w:pPr>
              <w:pStyle w:val="0"/>
            </w:pPr>
            <w:r>
              <w:rPr>
                <w:sz w:val="20"/>
              </w:rPr>
              <w:t xml:space="preserve">Управление по информационной политике аппарата губернатора и правительства Еврейской автономной области, органы местного самоуправления (по согласованию), казачьи общества (по согласованию), иные объединения казаков (по согласованию)</w:t>
            </w:r>
          </w:p>
        </w:tc>
        <w:tc>
          <w:tcPr>
            <w:tcW w:w="1849" w:type="dxa"/>
          </w:tcPr>
          <w:p>
            <w:pPr>
              <w:pStyle w:val="0"/>
            </w:pPr>
            <w:hyperlink w:history="0" r:id="rId36" w:tooltip="Указ Президента РФ от 09.08.2020 N 505 &quot;Об утверждении Стратегии государственной политики Российской Федерации в отношении российского казачества на 2021 - 2030 годы&quot; ------------ Недействующая редакция {КонсультантПлюс}">
              <w:r>
                <w:rPr>
                  <w:sz w:val="20"/>
                  <w:color w:val="0000ff"/>
                </w:rPr>
                <w:t xml:space="preserve">Подпункт "в" пункта 19</w:t>
              </w:r>
            </w:hyperlink>
            <w:r>
              <w:rPr>
                <w:sz w:val="20"/>
              </w:rPr>
              <w:t xml:space="preserve"> Стратегии</w:t>
            </w:r>
          </w:p>
        </w:tc>
        <w:tc>
          <w:tcPr>
            <w:tcW w:w="2149" w:type="dxa"/>
          </w:tcPr>
          <w:p>
            <w:pPr>
              <w:pStyle w:val="0"/>
            </w:pPr>
            <w:r>
              <w:rPr>
                <w:sz w:val="20"/>
              </w:rPr>
              <w:t xml:space="preserve">Количество публикаций в средствах массовой информации и информационно-телекоммуникационной сети "Интернет"</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9"/>
      <w:headerReference w:type="first" r:id="rId9"/>
      <w:footerReference w:type="default" r:id="rId10"/>
      <w:footerReference w:type="first" r:id="rId10"/>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ЕАО от 01.07.2024 N 287-рп</w:t>
            <w:br/>
            <w:t>"Об утверждении Плана мероприятий по реализации в 2024 - 2026 года...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30.12.2024</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Распоряжение правительства ЕАО от 01.07.2024 N 287-рп</w:t>
            <w:br/>
            <w:t>"Об утверждении Плана мероприятий по реализации в 2024 - 2026 года...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359568&amp;dst=100016" TargetMode = "External"/>
	<Relationship Id="rId8" Type="http://schemas.openxmlformats.org/officeDocument/2006/relationships/hyperlink" Target="https://login.consultant.ru/link/?req=doc&amp;base=LAW&amp;n=462469" TargetMode = "External"/>
	<Relationship Id="rId9" Type="http://schemas.openxmlformats.org/officeDocument/2006/relationships/header" Target="header2.xml"/>
	<Relationship Id="rId10" Type="http://schemas.openxmlformats.org/officeDocument/2006/relationships/footer" Target="footer2.xml"/>
	<Relationship Id="rId11" Type="http://schemas.openxmlformats.org/officeDocument/2006/relationships/hyperlink" Target="https://login.consultant.ru/link/?req=doc&amp;base=LAW&amp;n=359568&amp;dst=100074" TargetMode = "External"/>
	<Relationship Id="rId12" Type="http://schemas.openxmlformats.org/officeDocument/2006/relationships/hyperlink" Target="https://login.consultant.ru/link/?req=doc&amp;base=LAW&amp;n=187242" TargetMode = "External"/>
	<Relationship Id="rId13" Type="http://schemas.openxmlformats.org/officeDocument/2006/relationships/hyperlink" Target="https://login.consultant.ru/link/?req=doc&amp;base=LAW&amp;n=359568&amp;dst=100079" TargetMode = "External"/>
	<Relationship Id="rId14" Type="http://schemas.openxmlformats.org/officeDocument/2006/relationships/hyperlink" Target="https://login.consultant.ru/link/?req=doc&amp;base=LAW&amp;n=359568&amp;dst=100064" TargetMode = "External"/>
	<Relationship Id="rId15" Type="http://schemas.openxmlformats.org/officeDocument/2006/relationships/hyperlink" Target="https://login.consultant.ru/link/?req=doc&amp;base=LAW&amp;n=359568&amp;dst=100039" TargetMode = "External"/>
	<Relationship Id="rId16" Type="http://schemas.openxmlformats.org/officeDocument/2006/relationships/hyperlink" Target="https://login.consultant.ru/link/?req=doc&amp;base=LAW&amp;n=359568&amp;dst=100044" TargetMode = "External"/>
	<Relationship Id="rId17" Type="http://schemas.openxmlformats.org/officeDocument/2006/relationships/hyperlink" Target="https://login.consultant.ru/link/?req=doc&amp;base=LAW&amp;n=359568&amp;dst=100099" TargetMode = "External"/>
	<Relationship Id="rId18" Type="http://schemas.openxmlformats.org/officeDocument/2006/relationships/hyperlink" Target="https://login.consultant.ru/link/?req=doc&amp;base=LAW&amp;n=359568&amp;dst=100077" TargetMode = "External"/>
	<Relationship Id="rId19" Type="http://schemas.openxmlformats.org/officeDocument/2006/relationships/hyperlink" Target="https://login.consultant.ru/link/?req=doc&amp;base=LAW&amp;n=359568&amp;dst=100102" TargetMode = "External"/>
	<Relationship Id="rId20" Type="http://schemas.openxmlformats.org/officeDocument/2006/relationships/hyperlink" Target="https://login.consultant.ru/link/?req=doc&amp;base=LAW&amp;n=359568&amp;dst=100113" TargetMode = "External"/>
	<Relationship Id="rId21" Type="http://schemas.openxmlformats.org/officeDocument/2006/relationships/hyperlink" Target="https://login.consultant.ru/link/?req=doc&amp;base=LAW&amp;n=359568&amp;dst=100107" TargetMode = "External"/>
	<Relationship Id="rId22" Type="http://schemas.openxmlformats.org/officeDocument/2006/relationships/hyperlink" Target="https://login.consultant.ru/link/?req=doc&amp;base=LAW&amp;n=359568&amp;dst=100108" TargetMode = "External"/>
	<Relationship Id="rId23" Type="http://schemas.openxmlformats.org/officeDocument/2006/relationships/hyperlink" Target="https://login.consultant.ru/link/?req=doc&amp;base=LAW&amp;n=359568&amp;dst=100103" TargetMode = "External"/>
	<Relationship Id="rId24" Type="http://schemas.openxmlformats.org/officeDocument/2006/relationships/hyperlink" Target="https://login.consultant.ru/link/?req=doc&amp;base=LAW&amp;n=359568&amp;dst=100044" TargetMode = "External"/>
	<Relationship Id="rId25" Type="http://schemas.openxmlformats.org/officeDocument/2006/relationships/hyperlink" Target="https://login.consultant.ru/link/?req=doc&amp;base=LAW&amp;n=359568&amp;dst=100102" TargetMode = "External"/>
	<Relationship Id="rId26" Type="http://schemas.openxmlformats.org/officeDocument/2006/relationships/hyperlink" Target="https://login.consultant.ru/link/?req=doc&amp;base=LAW&amp;n=359568&amp;dst=100112" TargetMode = "External"/>
	<Relationship Id="rId27" Type="http://schemas.openxmlformats.org/officeDocument/2006/relationships/hyperlink" Target="https://login.consultant.ru/link/?req=doc&amp;base=LAW&amp;n=359568&amp;dst=100103" TargetMode = "External"/>
	<Relationship Id="rId28" Type="http://schemas.openxmlformats.org/officeDocument/2006/relationships/hyperlink" Target="https://login.consultant.ru/link/?req=doc&amp;base=LAW&amp;n=359568&amp;dst=100119" TargetMode = "External"/>
	<Relationship Id="rId29" Type="http://schemas.openxmlformats.org/officeDocument/2006/relationships/hyperlink" Target="https://login.consultant.ru/link/?req=doc&amp;base=LAW&amp;n=359568&amp;dst=100107" TargetMode = "External"/>
	<Relationship Id="rId30" Type="http://schemas.openxmlformats.org/officeDocument/2006/relationships/hyperlink" Target="https://login.consultant.ru/link/?req=doc&amp;base=LAW&amp;n=359568&amp;dst=100122" TargetMode = "External"/>
	<Relationship Id="rId31" Type="http://schemas.openxmlformats.org/officeDocument/2006/relationships/hyperlink" Target="https://login.consultant.ru/link/?req=doc&amp;base=LAW&amp;n=359568&amp;dst=100120" TargetMode = "External"/>
	<Relationship Id="rId32" Type="http://schemas.openxmlformats.org/officeDocument/2006/relationships/hyperlink" Target="https://login.consultant.ru/link/?req=doc&amp;base=LAW&amp;n=359568&amp;dst=100097" TargetMode = "External"/>
	<Relationship Id="rId33" Type="http://schemas.openxmlformats.org/officeDocument/2006/relationships/hyperlink" Target="https://login.consultant.ru/link/?req=doc&amp;base=LAW&amp;n=359568&amp;dst=100120" TargetMode = "External"/>
	<Relationship Id="rId34" Type="http://schemas.openxmlformats.org/officeDocument/2006/relationships/hyperlink" Target="https://login.consultant.ru/link/?req=doc&amp;base=LAW&amp;n=359568&amp;dst=100128" TargetMode = "External"/>
	<Relationship Id="rId35" Type="http://schemas.openxmlformats.org/officeDocument/2006/relationships/hyperlink" Target="https://login.consultant.ru/link/?req=doc&amp;base=LAW&amp;n=359568&amp;dst=100145" TargetMode = "External"/>
	<Relationship Id="rId36" Type="http://schemas.openxmlformats.org/officeDocument/2006/relationships/hyperlink" Target="https://login.consultant.ru/link/?req=doc&amp;base=LAW&amp;n=359568&amp;dst=10014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ЕАО от 01.07.2024 N 287-рп
"Об утверждении Плана мероприятий по реализации в 2024 - 2026 годах Стратегии государственной политики Российской Федерации в отношении российского казачества на 2021 - 2030 годы на территории Еврейской автономной области"</dc:title>
  <dcterms:created xsi:type="dcterms:W3CDTF">2024-12-30T10:09:52Z</dcterms:created>
</cp:coreProperties>
</file>