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ЕАО от 25.04.2018 N 253-ОЗ</w:t>
              <w:br/>
              <w:t xml:space="preserve">(ред. от 29.10.2025)</w:t>
              <w:br/>
              <w:t xml:space="preserve">"Об Общественной палате Еврейской автономной области"</w:t>
              <w:br/>
              <w:t xml:space="preserve">(принят ЗС ЕАО от 25.04.2018)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25 апреля 2018 года</w:t>
            </w:r>
          </w:p>
        </w:tc>
        <w:tc>
          <w:tcPr>
            <w:tcW w:w="5103" w:type="dxa"/>
            <w:tcBorders>
              <w:top w:val="nil"/>
              <w:left w:val="nil"/>
              <w:bottom w:val="nil"/>
              <w:right w:val="nil"/>
            </w:tcBorders>
          </w:tcPr>
          <w:p>
            <w:pPr>
              <w:pStyle w:val="0"/>
              <w:outlineLvl w:val="0"/>
              <w:jc w:val="right"/>
            </w:pPr>
            <w:r>
              <w:rPr>
                <w:sz w:val="20"/>
              </w:rPr>
              <w:t xml:space="preserve">N 253-ОЗ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ЕВРЕЙСКОЙ АВТОНОМНОЙ ОБЛАСТИ</w:t>
      </w:r>
    </w:p>
    <w:p>
      <w:pPr>
        <w:pStyle w:val="2"/>
        <w:jc w:val="center"/>
      </w:pPr>
      <w:r>
        <w:rPr>
          <w:sz w:val="20"/>
        </w:rPr>
      </w:r>
    </w:p>
    <w:p>
      <w:pPr>
        <w:pStyle w:val="2"/>
        <w:jc w:val="center"/>
      </w:pPr>
      <w:r>
        <w:rPr>
          <w:sz w:val="20"/>
        </w:rPr>
        <w:t xml:space="preserve">ОБ ОБЩЕСТВЕННОЙ ПАЛАТЕ ЕВРЕЙСКОЙ АВТОНОМНОЙ ОБЛАСТИ</w:t>
      </w:r>
    </w:p>
    <w:p>
      <w:pPr>
        <w:pStyle w:val="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 ЕАО</w:t>
      </w:r>
    </w:p>
    <w:p>
      <w:pPr>
        <w:pStyle w:val="0"/>
        <w:jc w:val="right"/>
      </w:pPr>
      <w:r>
        <w:rPr>
          <w:sz w:val="20"/>
        </w:rPr>
        <w:t xml:space="preserve">25 апреля 2018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ЕАО от 28.02.2019 </w:t>
            </w:r>
            <w:hyperlink w:history="0" r:id="rId8" w:tooltip="Закон ЕАО от 28.02.2019 N 383-ОЗ &quot;О внесении изменения в закон ЕАО &quot;Об Общественной палате Еврейской автономной области&quot; (принят ЗС ЕАО от 28.02.2019) {КонсультантПлюс}">
              <w:r>
                <w:rPr>
                  <w:sz w:val="20"/>
                  <w:color w:val="0000ff"/>
                </w:rPr>
                <w:t xml:space="preserve">N 383-ОЗ</w:t>
              </w:r>
            </w:hyperlink>
            <w:r>
              <w:rPr>
                <w:sz w:val="20"/>
                <w:color w:val="392c69"/>
              </w:rPr>
              <w:t xml:space="preserve">,</w:t>
            </w:r>
          </w:p>
          <w:p>
            <w:pPr>
              <w:pStyle w:val="0"/>
              <w:jc w:val="center"/>
            </w:pPr>
            <w:r>
              <w:rPr>
                <w:sz w:val="20"/>
                <w:color w:val="392c69"/>
              </w:rPr>
              <w:t xml:space="preserve">от 24.06.2021 </w:t>
            </w:r>
            <w:hyperlink w:history="0" r:id="rId9" w:tooltip="Закон ЕАО от 24.06.2021 N 756-ОЗ &quot;О внесении изменений в некоторые законы Еврейской автономной области&quot; (принят ЗС ЕАО от 24.06.2021) {КонсультантПлюс}">
              <w:r>
                <w:rPr>
                  <w:sz w:val="20"/>
                  <w:color w:val="0000ff"/>
                </w:rPr>
                <w:t xml:space="preserve">N 756-ОЗ</w:t>
              </w:r>
            </w:hyperlink>
            <w:r>
              <w:rPr>
                <w:sz w:val="20"/>
                <w:color w:val="392c69"/>
              </w:rPr>
              <w:t xml:space="preserve">, от 29.05.2024 </w:t>
            </w:r>
            <w:hyperlink w:history="0" r:id="rId10" w:tooltip="Закон ЕАО от 29.05.2024 N 393-ОЗ &quot;О внесении изменения в закон ЕАО &quot;Об Общественной палате Еврейской автономной области&quot; (принят ЗС ЕАО от 29.05.2024) {КонсультантПлюс}">
              <w:r>
                <w:rPr>
                  <w:sz w:val="20"/>
                  <w:color w:val="0000ff"/>
                </w:rPr>
                <w:t xml:space="preserve">N 393-ОЗ</w:t>
              </w:r>
            </w:hyperlink>
            <w:r>
              <w:rPr>
                <w:sz w:val="20"/>
                <w:color w:val="392c69"/>
              </w:rPr>
              <w:t xml:space="preserve">,</w:t>
            </w:r>
          </w:p>
          <w:p>
            <w:pPr>
              <w:pStyle w:val="0"/>
              <w:jc w:val="center"/>
            </w:pPr>
            <w:r>
              <w:rPr>
                <w:sz w:val="20"/>
                <w:color w:val="392c69"/>
              </w:rPr>
              <w:t xml:space="preserve">от 29.10.2025 </w:t>
            </w:r>
            <w:hyperlink w:history="0" r:id="rId11" w:tooltip="Закон ЕАО от 29.10.2025 N 596-ОЗ &quot;О внесении изменения в статью 5 закона ЕАО &quot;Об Общественной палате Еврейской автономной области&quot; (принят ЗС ЕАО от 29.10.2025) {КонсультантПлюс}">
              <w:r>
                <w:rPr>
                  <w:sz w:val="20"/>
                  <w:color w:val="0000ff"/>
                </w:rPr>
                <w:t xml:space="preserve">N 596-ОЗ</w:t>
              </w:r>
            </w:hyperlink>
            <w:r>
              <w:rPr>
                <w:sz w:val="20"/>
                <w:color w:val="392c69"/>
              </w:rPr>
              <w:t xml:space="preserve">, от 29.10.2025 </w:t>
            </w:r>
            <w:hyperlink w:history="0" r:id="rId12" w:tooltip="Закон ЕАО от 29.10.2025 N 597-ОЗ &quot;О внесении изменений в статьи 14 и 14.1 закона ЕАО &quot;Об Общественной палате Еврейской автономной области&quot; (принят ЗС ЕАО от 29.10.2025) {КонсультантПлюс}">
              <w:r>
                <w:rPr>
                  <w:sz w:val="20"/>
                  <w:color w:val="0000ff"/>
                </w:rPr>
                <w:t xml:space="preserve">N 597-ОЗ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ind w:firstLine="540"/>
        <w:jc w:val="both"/>
      </w:pPr>
      <w:r>
        <w:rPr>
          <w:sz w:val="20"/>
        </w:rPr>
        <w:t xml:space="preserve">Статья 1</w:t>
      </w:r>
    </w:p>
    <w:p>
      <w:pPr>
        <w:pStyle w:val="0"/>
        <w:jc w:val="both"/>
      </w:pPr>
      <w:r>
        <w:rPr>
          <w:sz w:val="20"/>
        </w:rPr>
      </w:r>
    </w:p>
    <w:p>
      <w:pPr>
        <w:pStyle w:val="0"/>
        <w:ind w:firstLine="540"/>
        <w:jc w:val="both"/>
      </w:pPr>
      <w:r>
        <w:rPr>
          <w:sz w:val="20"/>
        </w:rPr>
        <w:t xml:space="preserve">1. Общественная палата Еврейской автономной области (далее - Общественная палата) обеспечивает взаимодействие граждан Российской Федерации, проживающих на территории Еврейской автономной области (далее - область),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области (далее - некоммерческие организации), с территориальными органами федеральных органов исполнительной власти, органами государственной власти области и органами местного самоуправления, находящимися на территории области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области,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области.</w:t>
      </w:r>
    </w:p>
    <w:p>
      <w:pPr>
        <w:pStyle w:val="0"/>
        <w:spacing w:before="200" w:lineRule="auto"/>
        <w:ind w:firstLine="540"/>
        <w:jc w:val="both"/>
      </w:pPr>
      <w:r>
        <w:rPr>
          <w:sz w:val="20"/>
        </w:rPr>
        <w:t xml:space="preserve">2. Наименование Общественной палаты: "Общественная палата Еврейской автономной области".</w:t>
      </w:r>
    </w:p>
    <w:p>
      <w:pPr>
        <w:pStyle w:val="0"/>
        <w:spacing w:before="200" w:lineRule="auto"/>
        <w:ind w:firstLine="540"/>
        <w:jc w:val="both"/>
      </w:pPr>
      <w:r>
        <w:rPr>
          <w:sz w:val="20"/>
        </w:rPr>
        <w:t xml:space="preserve">3. Общественная палата формируется на основе добровольного участия в ее деятельности граждан и некоммерческих организаций в соответствии с Федеральным </w:t>
      </w:r>
      <w:hyperlink w:history="0" r:id="rId13"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от 23.06.2016 N 183-ФЗ "Об общих принципах организации и деятельности общественных палат субъектов Российской Федерации" (далее - Федеральный закон) и настоящим законом области.</w:t>
      </w:r>
    </w:p>
    <w:p>
      <w:pPr>
        <w:pStyle w:val="0"/>
        <w:jc w:val="both"/>
      </w:pPr>
      <w:r>
        <w:rPr>
          <w:sz w:val="20"/>
        </w:rPr>
      </w:r>
    </w:p>
    <w:p>
      <w:pPr>
        <w:pStyle w:val="2"/>
        <w:outlineLvl w:val="1"/>
        <w:ind w:firstLine="540"/>
        <w:jc w:val="both"/>
      </w:pPr>
      <w:r>
        <w:rPr>
          <w:sz w:val="20"/>
        </w:rPr>
        <w:t xml:space="preserve">Статья 2</w:t>
      </w:r>
    </w:p>
    <w:p>
      <w:pPr>
        <w:pStyle w:val="0"/>
        <w:jc w:val="both"/>
      </w:pPr>
      <w:r>
        <w:rPr>
          <w:sz w:val="20"/>
        </w:rPr>
      </w:r>
    </w:p>
    <w:p>
      <w:pPr>
        <w:pStyle w:val="0"/>
        <w:ind w:firstLine="540"/>
        <w:jc w:val="both"/>
      </w:pPr>
      <w:r>
        <w:rPr>
          <w:sz w:val="20"/>
        </w:rPr>
        <w:t xml:space="preserve">Общественная палата осуществляет свою деятельность на основе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Федерального закона, других федеральных законов, иных нормативных правовых актов Российской Федерации, </w:t>
      </w:r>
      <w:hyperlink w:history="0" r:id="rId15" w:tooltip="Устав Еврейской автономной области от 08.10.1997 N 40-ОЗ (принят ЗС ЕАО 08.10.1997) (ред. от 17.12.2024) {КонсультантПлюс}">
        <w:r>
          <w:rPr>
            <w:sz w:val="20"/>
            <w:color w:val="0000ff"/>
          </w:rPr>
          <w:t xml:space="preserve">Устава</w:t>
        </w:r>
      </w:hyperlink>
      <w:r>
        <w:rPr>
          <w:sz w:val="20"/>
        </w:rPr>
        <w:t xml:space="preserve"> области, настоящего закона, законов и иных нормативных правовых актов области.</w:t>
      </w:r>
    </w:p>
    <w:p>
      <w:pPr>
        <w:pStyle w:val="0"/>
        <w:jc w:val="both"/>
      </w:pPr>
      <w:r>
        <w:rPr>
          <w:sz w:val="20"/>
        </w:rPr>
      </w:r>
    </w:p>
    <w:p>
      <w:pPr>
        <w:pStyle w:val="2"/>
        <w:outlineLvl w:val="1"/>
        <w:ind w:firstLine="540"/>
        <w:jc w:val="both"/>
      </w:pPr>
      <w:r>
        <w:rPr>
          <w:sz w:val="20"/>
        </w:rPr>
        <w:t xml:space="preserve">Статья 3</w:t>
      </w:r>
    </w:p>
    <w:p>
      <w:pPr>
        <w:pStyle w:val="0"/>
        <w:jc w:val="both"/>
      </w:pPr>
      <w:r>
        <w:rPr>
          <w:sz w:val="20"/>
        </w:rPr>
      </w:r>
    </w:p>
    <w:p>
      <w:pPr>
        <w:pStyle w:val="0"/>
        <w:ind w:firstLine="540"/>
        <w:jc w:val="both"/>
      </w:pPr>
      <w:r>
        <w:rPr>
          <w:sz w:val="20"/>
        </w:rPr>
        <w:t xml:space="preserve">Общественная палата формируется и осуществляет свою деятельность в соответствии с целями, задачами и принципами, определенными Федеральным законом.</w:t>
      </w:r>
    </w:p>
    <w:p>
      <w:pPr>
        <w:pStyle w:val="0"/>
        <w:jc w:val="both"/>
      </w:pPr>
      <w:r>
        <w:rPr>
          <w:sz w:val="20"/>
        </w:rPr>
      </w:r>
    </w:p>
    <w:bookmarkStart w:id="32" w:name="P32"/>
    <w:bookmarkEnd w:id="32"/>
    <w:p>
      <w:pPr>
        <w:pStyle w:val="2"/>
        <w:outlineLvl w:val="1"/>
        <w:ind w:firstLine="540"/>
        <w:jc w:val="both"/>
      </w:pPr>
      <w:r>
        <w:rPr>
          <w:sz w:val="20"/>
        </w:rPr>
        <w:t xml:space="preserve">Статья 4</w:t>
      </w:r>
    </w:p>
    <w:p>
      <w:pPr>
        <w:pStyle w:val="0"/>
        <w:jc w:val="both"/>
      </w:pPr>
      <w:r>
        <w:rPr>
          <w:sz w:val="20"/>
        </w:rPr>
      </w:r>
    </w:p>
    <w:bookmarkStart w:id="34" w:name="P34"/>
    <w:bookmarkEnd w:id="34"/>
    <w:p>
      <w:pPr>
        <w:pStyle w:val="0"/>
        <w:ind w:firstLine="540"/>
        <w:jc w:val="both"/>
      </w:pPr>
      <w:r>
        <w:rPr>
          <w:sz w:val="20"/>
        </w:rPr>
        <w:t xml:space="preserve">1. Общественная палата состоит из 24 граждан Российской Федерации, проживающих на территории области и отвечающих требованиям </w:t>
      </w:r>
      <w:hyperlink w:history="0" r:id="rId16"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статьи 7</w:t>
        </w:r>
      </w:hyperlink>
      <w:r>
        <w:rPr>
          <w:sz w:val="20"/>
        </w:rPr>
        <w:t xml:space="preserve"> Федерального закона.</w:t>
      </w:r>
    </w:p>
    <w:p>
      <w:pPr>
        <w:pStyle w:val="0"/>
        <w:spacing w:before="200" w:lineRule="auto"/>
        <w:ind w:firstLine="540"/>
        <w:jc w:val="both"/>
      </w:pPr>
      <w:r>
        <w:rPr>
          <w:sz w:val="20"/>
        </w:rPr>
        <w:t xml:space="preserve">2. Правом на выдвижение кандидатов в члены Общественной палаты обладают некоммерческие организации, отвечающие требованиям, установленным Федеральным законом.</w:t>
      </w:r>
    </w:p>
    <w:p>
      <w:pPr>
        <w:pStyle w:val="0"/>
        <w:spacing w:before="200" w:lineRule="auto"/>
        <w:ind w:firstLine="540"/>
        <w:jc w:val="both"/>
      </w:pPr>
      <w:r>
        <w:rPr>
          <w:sz w:val="20"/>
        </w:rPr>
        <w:t xml:space="preserve">3. Восемь членов Общественной палаты назначаются губернатором области по представлению зарегистрированных на территории области структурных подразделений общероссийских и межрегиональных общественных объединений.</w:t>
      </w:r>
    </w:p>
    <w:p>
      <w:pPr>
        <w:pStyle w:val="0"/>
        <w:spacing w:before="200" w:lineRule="auto"/>
        <w:ind w:firstLine="540"/>
        <w:jc w:val="both"/>
      </w:pPr>
      <w:r>
        <w:rPr>
          <w:sz w:val="20"/>
        </w:rPr>
        <w:t xml:space="preserve">4. Восемь членов Общественной палаты назначаются Законодательным Собранием области по представлению зарегистрированных на территории области некоммерческих организаций, в том числе региональных общественных объединений.</w:t>
      </w:r>
    </w:p>
    <w:p>
      <w:pPr>
        <w:pStyle w:val="0"/>
        <w:spacing w:before="200" w:lineRule="auto"/>
        <w:ind w:firstLine="540"/>
        <w:jc w:val="both"/>
      </w:pPr>
      <w:r>
        <w:rPr>
          <w:sz w:val="20"/>
        </w:rPr>
        <w:t xml:space="preserve">5. Восемь членов Общественной палаты назначаются членами Общественной палаты, утвержденными губернатором области, и членами Общественной палаты, утвержденными Законодательным Собранием области, из числа кандидатур, представленных местными общественными объединениями, зарегистрированными на территории области.</w:t>
      </w:r>
    </w:p>
    <w:p>
      <w:pPr>
        <w:pStyle w:val="0"/>
        <w:spacing w:before="200" w:lineRule="auto"/>
        <w:ind w:firstLine="540"/>
        <w:jc w:val="both"/>
      </w:pPr>
      <w:r>
        <w:rPr>
          <w:sz w:val="20"/>
        </w:rPr>
        <w:t xml:space="preserve">6. 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pPr>
        <w:pStyle w:val="0"/>
        <w:jc w:val="both"/>
      </w:pPr>
      <w:r>
        <w:rPr>
          <w:sz w:val="20"/>
        </w:rPr>
      </w:r>
    </w:p>
    <w:p>
      <w:pPr>
        <w:pStyle w:val="2"/>
        <w:outlineLvl w:val="1"/>
        <w:ind w:firstLine="540"/>
        <w:jc w:val="both"/>
      </w:pPr>
      <w:r>
        <w:rPr>
          <w:sz w:val="20"/>
        </w:rPr>
        <w:t xml:space="preserve">Статья 5</w:t>
      </w:r>
    </w:p>
    <w:p>
      <w:pPr>
        <w:pStyle w:val="0"/>
        <w:jc w:val="both"/>
      </w:pPr>
      <w:r>
        <w:rPr>
          <w:sz w:val="20"/>
        </w:rPr>
      </w:r>
    </w:p>
    <w:p>
      <w:pPr>
        <w:pStyle w:val="0"/>
        <w:ind w:firstLine="540"/>
        <w:jc w:val="both"/>
      </w:pPr>
      <w:r>
        <w:rPr>
          <w:sz w:val="20"/>
        </w:rPr>
        <w:t xml:space="preserve">1. Дата начала процедуры формирования нового состава Общественной палаты определяется постановлением Законодательного Собрания области.</w:t>
      </w:r>
    </w:p>
    <w:p>
      <w:pPr>
        <w:pStyle w:val="0"/>
        <w:spacing w:before="200" w:lineRule="auto"/>
        <w:ind w:firstLine="540"/>
        <w:jc w:val="both"/>
      </w:pPr>
      <w:r>
        <w:rPr>
          <w:sz w:val="20"/>
        </w:rPr>
        <w:t xml:space="preserve">2. Информацию о начале процедуры формирования нового состава Общественной палаты Законодательное Собрание области размещает на своем официальном сайте в информационно-телекоммуникационной сети Интернет не позднее чем за три месяца до истечения срока полномочий членов Общественной палаты.</w:t>
      </w:r>
    </w:p>
    <w:p>
      <w:pPr>
        <w:pStyle w:val="0"/>
        <w:spacing w:before="200" w:lineRule="auto"/>
        <w:ind w:firstLine="540"/>
        <w:jc w:val="both"/>
      </w:pPr>
      <w:r>
        <w:rPr>
          <w:sz w:val="20"/>
        </w:rPr>
        <w:t xml:space="preserve">3. Срок для приема предложений по кандидатам в члены Общественной палаты составляет 30 календарных дней с даты начала процедуры формирования нового состава Общественной палаты.</w:t>
      </w:r>
    </w:p>
    <w:p>
      <w:pPr>
        <w:pStyle w:val="0"/>
        <w:spacing w:before="200" w:lineRule="auto"/>
        <w:ind w:firstLine="540"/>
        <w:jc w:val="both"/>
      </w:pPr>
      <w:r>
        <w:rPr>
          <w:sz w:val="20"/>
        </w:rPr>
        <w:t xml:space="preserve">4. Инициатор выдвижения кандидата в члены Общественной палаты представляет следующие документы:</w:t>
      </w:r>
    </w:p>
    <w:p>
      <w:pPr>
        <w:pStyle w:val="0"/>
        <w:spacing w:before="200" w:lineRule="auto"/>
        <w:ind w:firstLine="540"/>
        <w:jc w:val="both"/>
      </w:pPr>
      <w:r>
        <w:rPr>
          <w:sz w:val="20"/>
        </w:rPr>
        <w:t xml:space="preserve">1) </w:t>
      </w:r>
      <w:hyperlink w:history="0" w:anchor="P205" w:tooltip="                                  АНКЕТА                     ┌────────────┐">
        <w:r>
          <w:rPr>
            <w:sz w:val="20"/>
            <w:color w:val="0000ff"/>
          </w:rPr>
          <w:t xml:space="preserve">анкету</w:t>
        </w:r>
      </w:hyperlink>
      <w:r>
        <w:rPr>
          <w:sz w:val="20"/>
        </w:rPr>
        <w:t xml:space="preserve"> кандидата в состав Общественной палаты согласно приложению 1 к настоящему закону;</w:t>
      </w:r>
    </w:p>
    <w:p>
      <w:pPr>
        <w:pStyle w:val="0"/>
        <w:spacing w:before="200" w:lineRule="auto"/>
        <w:ind w:firstLine="540"/>
        <w:jc w:val="both"/>
      </w:pPr>
      <w:r>
        <w:rPr>
          <w:sz w:val="20"/>
        </w:rPr>
        <w:t xml:space="preserve">2) сведения об организационно-правовой форме, наименовании и месте нахождения некоммерческой организации, о соблюдении ею требований Федерального </w:t>
      </w:r>
      <w:hyperlink w:history="0" r:id="rId17"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закона</w:t>
        </w:r>
      </w:hyperlink>
      <w:r>
        <w:rPr>
          <w:sz w:val="20"/>
        </w:rPr>
        <w:t xml:space="preserve"> от 04.04.2005 N 32-ФЗ "Об Общественной палате Российской Федерации";</w:t>
      </w:r>
    </w:p>
    <w:p>
      <w:pPr>
        <w:pStyle w:val="0"/>
        <w:spacing w:before="200" w:lineRule="auto"/>
        <w:ind w:firstLine="540"/>
        <w:jc w:val="both"/>
      </w:pPr>
      <w:r>
        <w:rPr>
          <w:sz w:val="20"/>
        </w:rPr>
        <w:t xml:space="preserve">3) копию устава некоммерческой организации, заверенную в установленном законодательством Российской Федерации порядке;</w:t>
      </w:r>
    </w:p>
    <w:p>
      <w:pPr>
        <w:pStyle w:val="0"/>
        <w:spacing w:before="200" w:lineRule="auto"/>
        <w:ind w:firstLine="540"/>
        <w:jc w:val="both"/>
      </w:pPr>
      <w:r>
        <w:rPr>
          <w:sz w:val="20"/>
        </w:rPr>
        <w:t xml:space="preserve">4) копию документа о государственной регистрации некоммерческой организации, заверенную в установленном законодательством Российской Федерации порядке;</w:t>
      </w:r>
    </w:p>
    <w:p>
      <w:pPr>
        <w:pStyle w:val="0"/>
        <w:spacing w:before="200" w:lineRule="auto"/>
        <w:ind w:firstLine="540"/>
        <w:jc w:val="both"/>
      </w:pPr>
      <w:r>
        <w:rPr>
          <w:sz w:val="20"/>
        </w:rPr>
        <w:t xml:space="preserve">5) решение органа некоммерческой организации о выдвижении кандидата в члены Общественной палаты;</w:t>
      </w:r>
    </w:p>
    <w:p>
      <w:pPr>
        <w:pStyle w:val="0"/>
        <w:spacing w:before="200" w:lineRule="auto"/>
        <w:ind w:firstLine="540"/>
        <w:jc w:val="both"/>
      </w:pPr>
      <w:r>
        <w:rPr>
          <w:sz w:val="20"/>
        </w:rPr>
        <w:t xml:space="preserve">6) согласие лица, выдвинутого некоммерческой организацией в качестве кандидата в члены Общественной палаты, войти в состав Общественной палаты;</w:t>
      </w:r>
    </w:p>
    <w:p>
      <w:pPr>
        <w:pStyle w:val="0"/>
        <w:spacing w:before="200" w:lineRule="auto"/>
        <w:ind w:firstLine="540"/>
        <w:jc w:val="both"/>
      </w:pPr>
      <w:r>
        <w:rPr>
          <w:sz w:val="20"/>
        </w:rPr>
        <w:t xml:space="preserve">7) согласие лица, выдвинутого некоммерческой организацией в качестве кандидата в члены Общественной палаты, на обработку его персональных данных в любой позволяющей подтвердить факт его получения форме, если иное не установлено федеральным законом.</w:t>
      </w:r>
    </w:p>
    <w:p>
      <w:pPr>
        <w:pStyle w:val="0"/>
        <w:jc w:val="both"/>
      </w:pPr>
      <w:r>
        <w:rPr>
          <w:sz w:val="20"/>
        </w:rPr>
        <w:t xml:space="preserve">(п. 7 в ред. </w:t>
      </w:r>
      <w:hyperlink w:history="0" r:id="rId18" w:tooltip="Закон ЕАО от 28.02.2019 N 383-ОЗ &quot;О внесении изменения в закон ЕАО &quot;Об Общественной палате Еврейской автономной области&quot; (принят ЗС ЕАО от 28.02.2019) {КонсультантПлюс}">
        <w:r>
          <w:rPr>
            <w:sz w:val="20"/>
            <w:color w:val="0000ff"/>
          </w:rPr>
          <w:t xml:space="preserve">закона</w:t>
        </w:r>
      </w:hyperlink>
      <w:r>
        <w:rPr>
          <w:sz w:val="20"/>
        </w:rPr>
        <w:t xml:space="preserve"> ЕАО от 28.02.2019 N 383-ОЗ)</w:t>
      </w:r>
    </w:p>
    <w:p>
      <w:pPr>
        <w:pStyle w:val="0"/>
        <w:spacing w:before="200" w:lineRule="auto"/>
        <w:ind w:firstLine="540"/>
        <w:jc w:val="both"/>
      </w:pPr>
      <w:r>
        <w:rPr>
          <w:sz w:val="20"/>
        </w:rPr>
        <w:t xml:space="preserve">5. Предложения по кандидатам в члены Общественной палаты направляются и рассматриваются в порядке, установленном соответственно губернатором области, Законодательным Собранием области и Общественной палатой.</w:t>
      </w:r>
    </w:p>
    <w:bookmarkStart w:id="56" w:name="P56"/>
    <w:bookmarkEnd w:id="56"/>
    <w:p>
      <w:pPr>
        <w:pStyle w:val="0"/>
        <w:spacing w:before="200" w:lineRule="auto"/>
        <w:ind w:firstLine="540"/>
        <w:jc w:val="both"/>
      </w:pPr>
      <w:r>
        <w:rPr>
          <w:sz w:val="20"/>
        </w:rPr>
        <w:t xml:space="preserve">6. Губернатор области и Законодательное Собрание области назначают членов Общественной палаты не позднее 60 календарных дней со дня начала процедуры формирования нового состава Общественной палаты.</w:t>
      </w:r>
    </w:p>
    <w:p>
      <w:pPr>
        <w:pStyle w:val="0"/>
        <w:spacing w:before="200" w:lineRule="auto"/>
        <w:ind w:firstLine="540"/>
        <w:jc w:val="both"/>
      </w:pPr>
      <w:r>
        <w:rPr>
          <w:sz w:val="20"/>
        </w:rPr>
        <w:t xml:space="preserve">7. Члены Общественной палаты, назначенные в соответствии с </w:t>
      </w:r>
      <w:hyperlink w:history="0" w:anchor="P56" w:tooltip="6. Губернатор области и Законодательное Собрание области назначают членов Общественной палаты не позднее 60 календарных дней со дня начала процедуры формирования нового состава Общественной палаты.">
        <w:r>
          <w:rPr>
            <w:sz w:val="20"/>
            <w:color w:val="0000ff"/>
          </w:rPr>
          <w:t xml:space="preserve">частью 6</w:t>
        </w:r>
      </w:hyperlink>
      <w:r>
        <w:rPr>
          <w:sz w:val="20"/>
        </w:rPr>
        <w:t xml:space="preserve"> настоящей статьи, определяют состав остальной одной трети членов Общественной палаты не позднее 80 календарных дней со дня начала процедуры формирования нового состава Общественной палаты в следующем порядке:</w:t>
      </w:r>
    </w:p>
    <w:bookmarkStart w:id="58" w:name="P58"/>
    <w:bookmarkEnd w:id="58"/>
    <w:p>
      <w:pPr>
        <w:pStyle w:val="0"/>
        <w:spacing w:before="200" w:lineRule="auto"/>
        <w:ind w:firstLine="540"/>
        <w:jc w:val="both"/>
      </w:pPr>
      <w:r>
        <w:rPr>
          <w:sz w:val="20"/>
        </w:rPr>
        <w:t xml:space="preserve">1) члены Общественной палаты, назначенные в соответствии с </w:t>
      </w:r>
      <w:hyperlink w:history="0" w:anchor="P56" w:tooltip="6. Губернатор области и Законодательное Собрание области назначают членов Общественной палаты не позднее 60 календарных дней со дня начала процедуры формирования нового состава Общественной палаты.">
        <w:r>
          <w:rPr>
            <w:sz w:val="20"/>
            <w:color w:val="0000ff"/>
          </w:rPr>
          <w:t xml:space="preserve">частью 6</w:t>
        </w:r>
      </w:hyperlink>
      <w:r>
        <w:rPr>
          <w:sz w:val="20"/>
        </w:rPr>
        <w:t xml:space="preserve"> настоящей статьи, не позднее 5 календарных дней после дня их назначения принимают решение о создании рабочей группы по определению состава остальной одной трети членов Общественной палаты;</w:t>
      </w:r>
    </w:p>
    <w:p>
      <w:pPr>
        <w:pStyle w:val="0"/>
        <w:spacing w:before="200" w:lineRule="auto"/>
        <w:ind w:firstLine="540"/>
        <w:jc w:val="both"/>
      </w:pPr>
      <w:r>
        <w:rPr>
          <w:sz w:val="20"/>
        </w:rPr>
        <w:t xml:space="preserve">2) не позднее 10 календарных дней со дня принятия решения, предусмотренного </w:t>
      </w:r>
      <w:hyperlink w:history="0" w:anchor="P58" w:tooltip="1) члены Общественной палаты, назначенные в соответствии с частью 6 настоящей статьи, не позднее 5 календарных дней после дня их назначения принимают решение о создании рабочей группы по определению состава остальной одной трети членов Общественной палаты;">
        <w:r>
          <w:rPr>
            <w:sz w:val="20"/>
            <w:color w:val="0000ff"/>
          </w:rPr>
          <w:t xml:space="preserve">пунктом 1</w:t>
        </w:r>
      </w:hyperlink>
      <w:r>
        <w:rPr>
          <w:sz w:val="20"/>
        </w:rPr>
        <w:t xml:space="preserve"> настоящей части, рабочая группа по определению состава остальной одной трети членов Общественной палаты организует и проводит заседание членов Общественной палаты, утвержденных губернатором области, и членов Общественной палаты, утвержденных Законодательным Собранием области, для определения состава остальной одной трети членов Общественной палаты (далее - заседание);</w:t>
      </w:r>
    </w:p>
    <w:p>
      <w:pPr>
        <w:pStyle w:val="0"/>
        <w:spacing w:before="200" w:lineRule="auto"/>
        <w:ind w:firstLine="540"/>
        <w:jc w:val="both"/>
      </w:pPr>
      <w:r>
        <w:rPr>
          <w:sz w:val="20"/>
        </w:rPr>
        <w:t xml:space="preserve">3) заседание считается правомочным, если на нем присутствует более половины от общего числа членов Общественной палаты, назначенных губернатором области, и членов Общественной палаты, назначенных Законодательным Собранием области (далее - участники заседания);</w:t>
      </w:r>
    </w:p>
    <w:p>
      <w:pPr>
        <w:pStyle w:val="0"/>
        <w:spacing w:before="200" w:lineRule="auto"/>
        <w:ind w:firstLine="540"/>
        <w:jc w:val="both"/>
      </w:pPr>
      <w:r>
        <w:rPr>
          <w:sz w:val="20"/>
        </w:rPr>
        <w:t xml:space="preserve">4) решения на заседании принимаются простым большинством голосов от общего числа назначенных членов Общественной палаты;</w:t>
      </w:r>
    </w:p>
    <w:p>
      <w:pPr>
        <w:pStyle w:val="0"/>
        <w:spacing w:before="200" w:lineRule="auto"/>
        <w:ind w:firstLine="540"/>
        <w:jc w:val="both"/>
      </w:pPr>
      <w:r>
        <w:rPr>
          <w:sz w:val="20"/>
        </w:rPr>
        <w:t xml:space="preserve">5) старейший по возрасту член Общественной палаты, присутствующий на заседании, открывает заседание и предлагает участникам заседания открытым голосованием избрать председательствующего и секретаря заседания;</w:t>
      </w:r>
    </w:p>
    <w:p>
      <w:pPr>
        <w:pStyle w:val="0"/>
        <w:spacing w:before="200" w:lineRule="auto"/>
        <w:ind w:firstLine="540"/>
        <w:jc w:val="both"/>
      </w:pPr>
      <w:r>
        <w:rPr>
          <w:sz w:val="20"/>
        </w:rPr>
        <w:t xml:space="preserve">6) на заседании участниками заседания открытым голосованием утверждается регламент работы заседания;</w:t>
      </w:r>
    </w:p>
    <w:p>
      <w:pPr>
        <w:pStyle w:val="0"/>
        <w:spacing w:before="200" w:lineRule="auto"/>
        <w:ind w:firstLine="540"/>
        <w:jc w:val="both"/>
      </w:pPr>
      <w:r>
        <w:rPr>
          <w:sz w:val="20"/>
        </w:rPr>
        <w:t xml:space="preserve">7) перед началом голосования по определению состава остальной одной трети членов Общественной палаты председательствующий на заседании объявляет кандидатов, представленных местными общественными объединениями, зарегистрированными на территории области;</w:t>
      </w:r>
    </w:p>
    <w:p>
      <w:pPr>
        <w:pStyle w:val="0"/>
        <w:spacing w:before="200" w:lineRule="auto"/>
        <w:ind w:firstLine="540"/>
        <w:jc w:val="both"/>
      </w:pPr>
      <w:r>
        <w:rPr>
          <w:sz w:val="20"/>
        </w:rPr>
        <w:t xml:space="preserve">8) голосование является открытым и проводится отдельно по каждому кандидату. Избранными в состав остальной одной трети членов Общественной палаты считаются кандидаты, набравшие наибольшее число голосов присутствующих участников заседания;</w:t>
      </w:r>
    </w:p>
    <w:p>
      <w:pPr>
        <w:pStyle w:val="0"/>
        <w:spacing w:before="200" w:lineRule="auto"/>
        <w:ind w:firstLine="540"/>
        <w:jc w:val="both"/>
      </w:pPr>
      <w:r>
        <w:rPr>
          <w:sz w:val="20"/>
        </w:rPr>
        <w:t xml:space="preserve">9) решение об определении остальной одной трети членов Общественной палаты оформляется протоколом и подлежит размещению в течение четырех календарных дней со дня принятия на официальном интернет-портале органов государственной власти области в информационно-телекоммуникационной сети Интернет, сайте Общественной палаты в сети Интернет;</w:t>
      </w:r>
    </w:p>
    <w:p>
      <w:pPr>
        <w:pStyle w:val="0"/>
        <w:spacing w:before="200" w:lineRule="auto"/>
        <w:ind w:firstLine="540"/>
        <w:jc w:val="both"/>
      </w:pPr>
      <w:r>
        <w:rPr>
          <w:sz w:val="20"/>
        </w:rPr>
        <w:t xml:space="preserve">10) в случае досрочного прекращения полномочий члена Общественной палаты, избранного в состав остальной одной трети членов Общественной палаты, избрание члена в состав остальной одной трети членов Общественной палаты производится в том же порядке, в котором был избран выбывший член Общественной палаты.</w:t>
      </w:r>
    </w:p>
    <w:p>
      <w:pPr>
        <w:pStyle w:val="0"/>
        <w:spacing w:before="200" w:lineRule="auto"/>
        <w:ind w:firstLine="540"/>
        <w:jc w:val="both"/>
      </w:pPr>
      <w:r>
        <w:rPr>
          <w:sz w:val="20"/>
        </w:rPr>
        <w:t xml:space="preserve">8. Общественная палата является правомочной, если в ее состав вошло более трех четвертых установленного </w:t>
      </w:r>
      <w:hyperlink w:history="0" w:anchor="P34" w:tooltip="1. Общественная палата состоит из 24 граждан Российской Федерации, проживающих на территории области и отвечающих требованиям статьи 7 Федерального закона.">
        <w:r>
          <w:rPr>
            <w:sz w:val="20"/>
            <w:color w:val="0000ff"/>
          </w:rPr>
          <w:t xml:space="preserve">частью 1 статьи 4</w:t>
        </w:r>
      </w:hyperlink>
      <w:r>
        <w:rPr>
          <w:sz w:val="20"/>
        </w:rPr>
        <w:t xml:space="preserve"> настоящего закона числа членов Общественной палаты. Первое заседание Общественной палаты, образованной в правомочном составе, должно быть проведено не позднее чем через 10 дней со дня истечения срока полномочий членов Общественной палаты действующего состава.</w:t>
      </w:r>
    </w:p>
    <w:p>
      <w:pPr>
        <w:pStyle w:val="0"/>
        <w:spacing w:before="200" w:lineRule="auto"/>
        <w:ind w:firstLine="540"/>
        <w:jc w:val="both"/>
      </w:pPr>
      <w:r>
        <w:rPr>
          <w:sz w:val="20"/>
        </w:rPr>
        <w:t xml:space="preserve">9. В случае выбытия члена Общественной палаты назначение нового члена Общественной палаты осуществляется органом, ранее назначавшим выбывшего члена Общественной палаты, из кандидатур, выдвинутых некоммерческими организациями, определенными </w:t>
      </w:r>
      <w:hyperlink w:history="0" w:anchor="P32" w:tooltip="Статья 4">
        <w:r>
          <w:rPr>
            <w:sz w:val="20"/>
            <w:color w:val="0000ff"/>
          </w:rPr>
          <w:t xml:space="preserve">статьей 4</w:t>
        </w:r>
      </w:hyperlink>
      <w:r>
        <w:rPr>
          <w:sz w:val="20"/>
        </w:rPr>
        <w:t xml:space="preserve"> настоящего закона, в порядке, утвержденном соответствующим органом.</w:t>
      </w:r>
    </w:p>
    <w:p>
      <w:pPr>
        <w:pStyle w:val="0"/>
        <w:jc w:val="both"/>
      </w:pPr>
      <w:r>
        <w:rPr>
          <w:sz w:val="20"/>
        </w:rPr>
      </w:r>
    </w:p>
    <w:p>
      <w:pPr>
        <w:pStyle w:val="2"/>
        <w:outlineLvl w:val="1"/>
        <w:ind w:firstLine="540"/>
        <w:jc w:val="both"/>
      </w:pPr>
      <w:r>
        <w:rPr>
          <w:sz w:val="20"/>
        </w:rPr>
        <w:t xml:space="preserve">Статья 6</w:t>
      </w:r>
    </w:p>
    <w:p>
      <w:pPr>
        <w:pStyle w:val="0"/>
        <w:jc w:val="both"/>
      </w:pPr>
      <w:r>
        <w:rPr>
          <w:sz w:val="20"/>
        </w:rPr>
      </w:r>
    </w:p>
    <w:p>
      <w:pPr>
        <w:pStyle w:val="0"/>
        <w:ind w:firstLine="540"/>
        <w:jc w:val="both"/>
      </w:pPr>
      <w:r>
        <w:rPr>
          <w:sz w:val="20"/>
        </w:rPr>
        <w:t xml:space="preserve">1. Общественная палата утверждает Регламент Общественной палаты.</w:t>
      </w:r>
    </w:p>
    <w:p>
      <w:pPr>
        <w:pStyle w:val="0"/>
        <w:spacing w:before="200" w:lineRule="auto"/>
        <w:ind w:firstLine="540"/>
        <w:jc w:val="both"/>
      </w:pPr>
      <w:r>
        <w:rPr>
          <w:sz w:val="20"/>
        </w:rPr>
        <w:t xml:space="preserve">2. Регламентом Общественной палаты устанавливаются:</w:t>
      </w:r>
    </w:p>
    <w:p>
      <w:pPr>
        <w:pStyle w:val="0"/>
        <w:spacing w:before="200" w:lineRule="auto"/>
        <w:ind w:firstLine="540"/>
        <w:jc w:val="both"/>
      </w:pPr>
      <w:r>
        <w:rPr>
          <w:sz w:val="20"/>
        </w:rPr>
        <w:t xml:space="preserve">1) порядок участия членов Общественной палаты в ее деятельности;</w:t>
      </w:r>
    </w:p>
    <w:p>
      <w:pPr>
        <w:pStyle w:val="0"/>
        <w:spacing w:before="200" w:lineRule="auto"/>
        <w:ind w:firstLine="540"/>
        <w:jc w:val="both"/>
      </w:pPr>
      <w:r>
        <w:rPr>
          <w:sz w:val="20"/>
        </w:rPr>
        <w:t xml:space="preserve">2) сроки и порядок проведения заседаний Общественной палаты;</w:t>
      </w:r>
    </w:p>
    <w:p>
      <w:pPr>
        <w:pStyle w:val="0"/>
        <w:spacing w:before="200" w:lineRule="auto"/>
        <w:ind w:firstLine="540"/>
        <w:jc w:val="both"/>
      </w:pPr>
      <w:r>
        <w:rPr>
          <w:sz w:val="20"/>
        </w:rPr>
        <w:t xml:space="preserve">3) состав, полномочия и порядок деятельности совета Общественной палаты;</w:t>
      </w:r>
    </w:p>
    <w:p>
      <w:pPr>
        <w:pStyle w:val="0"/>
        <w:spacing w:before="200" w:lineRule="auto"/>
        <w:ind w:firstLine="540"/>
        <w:jc w:val="both"/>
      </w:pPr>
      <w:r>
        <w:rPr>
          <w:sz w:val="20"/>
        </w:rPr>
        <w:t xml:space="preserve">4) полномочия и порядок деятельности председателя Общественной палаты;</w:t>
      </w:r>
    </w:p>
    <w:p>
      <w:pPr>
        <w:pStyle w:val="0"/>
        <w:spacing w:before="200" w:lineRule="auto"/>
        <w:ind w:firstLine="540"/>
        <w:jc w:val="both"/>
      </w:pPr>
      <w:r>
        <w:rPr>
          <w:sz w:val="20"/>
        </w:rPr>
        <w:t xml:space="preserve">5) порядок формирования и деятельности постоянных комиссий Общественной палаты, а также порядок избрания и полномочия их руководителей;</w:t>
      </w:r>
    </w:p>
    <w:p>
      <w:pPr>
        <w:pStyle w:val="0"/>
        <w:spacing w:before="200" w:lineRule="auto"/>
        <w:ind w:firstLine="540"/>
        <w:jc w:val="both"/>
      </w:pPr>
      <w:r>
        <w:rPr>
          <w:sz w:val="20"/>
        </w:rPr>
        <w:t xml:space="preserve">6) порядок прекращения и приостановления полномочий членов Общественной палаты;</w:t>
      </w:r>
    </w:p>
    <w:p>
      <w:pPr>
        <w:pStyle w:val="0"/>
        <w:spacing w:before="200" w:lineRule="auto"/>
        <w:ind w:firstLine="540"/>
        <w:jc w:val="both"/>
      </w:pPr>
      <w:r>
        <w:rPr>
          <w:sz w:val="20"/>
        </w:rPr>
        <w:t xml:space="preserve">7) порядок деятельности аппарата Общественной палаты;</w:t>
      </w:r>
    </w:p>
    <w:p>
      <w:pPr>
        <w:pStyle w:val="0"/>
        <w:spacing w:before="200" w:lineRule="auto"/>
        <w:ind w:firstLine="540"/>
        <w:jc w:val="both"/>
      </w:pPr>
      <w:r>
        <w:rPr>
          <w:sz w:val="20"/>
        </w:rPr>
        <w:t xml:space="preserve">8) формы и порядок принятия решений Общественной палаты;</w:t>
      </w:r>
    </w:p>
    <w:p>
      <w:pPr>
        <w:pStyle w:val="0"/>
        <w:spacing w:before="200" w:lineRule="auto"/>
        <w:ind w:firstLine="540"/>
        <w:jc w:val="both"/>
      </w:pPr>
      <w:r>
        <w:rPr>
          <w:sz w:val="20"/>
        </w:rPr>
        <w:t xml:space="preserve">9)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pPr>
        <w:pStyle w:val="0"/>
        <w:spacing w:before="200" w:lineRule="auto"/>
        <w:ind w:firstLine="540"/>
        <w:jc w:val="both"/>
      </w:pPr>
      <w:r>
        <w:rPr>
          <w:sz w:val="20"/>
        </w:rPr>
        <w:t xml:space="preserve">10) иные вопросы внутренней организации и порядка деятельности Общественной палаты.</w:t>
      </w:r>
    </w:p>
    <w:p>
      <w:pPr>
        <w:pStyle w:val="0"/>
        <w:spacing w:before="200" w:lineRule="auto"/>
        <w:ind w:firstLine="540"/>
        <w:jc w:val="both"/>
      </w:pPr>
      <w:r>
        <w:rPr>
          <w:sz w:val="20"/>
        </w:rPr>
        <w:t xml:space="preserve">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pPr>
        <w:pStyle w:val="0"/>
        <w:jc w:val="both"/>
      </w:pPr>
      <w:r>
        <w:rPr>
          <w:sz w:val="20"/>
        </w:rPr>
      </w:r>
    </w:p>
    <w:p>
      <w:pPr>
        <w:pStyle w:val="2"/>
        <w:outlineLvl w:val="1"/>
        <w:ind w:firstLine="540"/>
        <w:jc w:val="both"/>
      </w:pPr>
      <w:r>
        <w:rPr>
          <w:sz w:val="20"/>
        </w:rPr>
        <w:t xml:space="preserve">Статья 7</w:t>
      </w:r>
    </w:p>
    <w:p>
      <w:pPr>
        <w:pStyle w:val="0"/>
        <w:jc w:val="both"/>
      </w:pPr>
      <w:r>
        <w:rPr>
          <w:sz w:val="20"/>
        </w:rPr>
      </w:r>
    </w:p>
    <w:p>
      <w:pPr>
        <w:pStyle w:val="0"/>
        <w:ind w:firstLine="540"/>
        <w:jc w:val="both"/>
      </w:pPr>
      <w:r>
        <w:rPr>
          <w:sz w:val="20"/>
        </w:rPr>
        <w:t xml:space="preserve">Совет Общественной палаты разрабатывает и представляет на утверждение Общественной палаты Кодекс этики членов Общественной палаты (далее - Кодекс этики). Выполнение требований, предусмотренных Кодексом этики, является обязательным для членов Общественной палаты.</w:t>
      </w:r>
    </w:p>
    <w:p>
      <w:pPr>
        <w:pStyle w:val="0"/>
        <w:jc w:val="both"/>
      </w:pPr>
      <w:r>
        <w:rPr>
          <w:sz w:val="20"/>
        </w:rPr>
      </w:r>
    </w:p>
    <w:p>
      <w:pPr>
        <w:pStyle w:val="2"/>
        <w:outlineLvl w:val="1"/>
        <w:ind w:firstLine="540"/>
        <w:jc w:val="both"/>
      </w:pPr>
      <w:r>
        <w:rPr>
          <w:sz w:val="20"/>
        </w:rPr>
        <w:t xml:space="preserve">Статья 8</w:t>
      </w:r>
    </w:p>
    <w:p>
      <w:pPr>
        <w:pStyle w:val="0"/>
        <w:jc w:val="both"/>
      </w:pPr>
      <w:r>
        <w:rPr>
          <w:sz w:val="20"/>
        </w:rPr>
      </w:r>
    </w:p>
    <w:p>
      <w:pPr>
        <w:pStyle w:val="0"/>
        <w:ind w:firstLine="540"/>
        <w:jc w:val="both"/>
      </w:pPr>
      <w:r>
        <w:rPr>
          <w:sz w:val="20"/>
        </w:rPr>
        <w:t xml:space="preserve">1. Члены Общественной палаты должны отвечать требованиям, установленным Федеральным законом.</w:t>
      </w:r>
    </w:p>
    <w:p>
      <w:pPr>
        <w:pStyle w:val="0"/>
        <w:spacing w:before="200" w:lineRule="auto"/>
        <w:ind w:firstLine="540"/>
        <w:jc w:val="both"/>
      </w:pPr>
      <w:r>
        <w:rPr>
          <w:sz w:val="20"/>
        </w:rPr>
        <w:t xml:space="preserve">2. Члены Общественной палаты принимают личное участие в заседаниях Общественной палаты, заседаниях совета Общественной палаты, заседаниях постоянных комиссий и рабочих групп Общественной палаты.</w:t>
      </w:r>
    </w:p>
    <w:p>
      <w:pPr>
        <w:pStyle w:val="0"/>
        <w:spacing w:before="200" w:lineRule="auto"/>
        <w:ind w:firstLine="540"/>
        <w:jc w:val="both"/>
      </w:pPr>
      <w:r>
        <w:rPr>
          <w:sz w:val="20"/>
        </w:rPr>
        <w:t xml:space="preserve">3. Участие члена Общественной палаты в работе одной из постоянных комиссий обязательно.</w:t>
      </w:r>
    </w:p>
    <w:p>
      <w:pPr>
        <w:pStyle w:val="0"/>
        <w:spacing w:before="200" w:lineRule="auto"/>
        <w:ind w:firstLine="540"/>
        <w:jc w:val="both"/>
      </w:pPr>
      <w:r>
        <w:rPr>
          <w:sz w:val="20"/>
        </w:rPr>
        <w:t xml:space="preserve">4. Члены Общественной палаты осуществляют свою деятельность на общественных началах.</w:t>
      </w:r>
    </w:p>
    <w:p>
      <w:pPr>
        <w:pStyle w:val="0"/>
        <w:spacing w:before="200" w:lineRule="auto"/>
        <w:ind w:firstLine="540"/>
        <w:jc w:val="both"/>
      </w:pPr>
      <w:r>
        <w:rPr>
          <w:sz w:val="20"/>
        </w:rPr>
        <w:t xml:space="preserve">5. Общественная палата может привлекать к своей деятельности представителей общественных советов, сформированных при органах государственной власти и местного самоуправления, некоммерческих организаций и иных объединений граждан Российской Федерации, представители которых не вошли в ее состав, с правом совещательного голоса.</w:t>
      </w:r>
    </w:p>
    <w:p>
      <w:pPr>
        <w:pStyle w:val="0"/>
        <w:spacing w:before="200" w:lineRule="auto"/>
        <w:ind w:firstLine="540"/>
        <w:jc w:val="both"/>
      </w:pPr>
      <w:r>
        <w:rPr>
          <w:sz w:val="20"/>
        </w:rPr>
        <w:t xml:space="preserve">6. Решение об участии в работе Общественной палаты указанных представителей принимается советом Общественной палаты в соответствии с Регламентом Общественной палаты.</w:t>
      </w:r>
    </w:p>
    <w:p>
      <w:pPr>
        <w:pStyle w:val="0"/>
        <w:jc w:val="both"/>
      </w:pPr>
      <w:r>
        <w:rPr>
          <w:sz w:val="20"/>
        </w:rPr>
      </w:r>
    </w:p>
    <w:p>
      <w:pPr>
        <w:pStyle w:val="2"/>
        <w:outlineLvl w:val="1"/>
        <w:ind w:firstLine="540"/>
        <w:jc w:val="both"/>
      </w:pPr>
      <w:r>
        <w:rPr>
          <w:sz w:val="20"/>
        </w:rPr>
        <w:t xml:space="preserve">Статья 9</w:t>
      </w:r>
    </w:p>
    <w:p>
      <w:pPr>
        <w:pStyle w:val="0"/>
        <w:jc w:val="both"/>
      </w:pPr>
      <w:r>
        <w:rPr>
          <w:sz w:val="20"/>
        </w:rPr>
      </w:r>
    </w:p>
    <w:p>
      <w:pPr>
        <w:pStyle w:val="0"/>
        <w:ind w:firstLine="540"/>
        <w:jc w:val="both"/>
      </w:pPr>
      <w:r>
        <w:rPr>
          <w:sz w:val="20"/>
        </w:rPr>
        <w:t xml:space="preserve">1. Члену Общественной палаты вручается удостоверение установленного образца согласно </w:t>
      </w:r>
      <w:hyperlink w:history="0" w:anchor="P328" w:tooltip="ОПИСАНИЕ">
        <w:r>
          <w:rPr>
            <w:sz w:val="20"/>
            <w:color w:val="0000ff"/>
          </w:rPr>
          <w:t xml:space="preserve">приложению 2</w:t>
        </w:r>
      </w:hyperlink>
      <w:r>
        <w:rPr>
          <w:sz w:val="20"/>
        </w:rPr>
        <w:t xml:space="preserve"> к настоящему закону, являющееся документом, подтверждающим его полномочия.</w:t>
      </w:r>
    </w:p>
    <w:p>
      <w:pPr>
        <w:pStyle w:val="0"/>
        <w:spacing w:before="200" w:lineRule="auto"/>
        <w:ind w:firstLine="540"/>
        <w:jc w:val="both"/>
      </w:pPr>
      <w:r>
        <w:rPr>
          <w:sz w:val="20"/>
        </w:rPr>
        <w:t xml:space="preserve">2. Удостоверение членам Общественной палаты вручается губернатором области на первом заседании Общественной палаты.</w:t>
      </w:r>
    </w:p>
    <w:p>
      <w:pPr>
        <w:pStyle w:val="0"/>
        <w:jc w:val="both"/>
      </w:pPr>
      <w:r>
        <w:rPr>
          <w:sz w:val="20"/>
        </w:rPr>
      </w:r>
    </w:p>
    <w:p>
      <w:pPr>
        <w:pStyle w:val="2"/>
        <w:outlineLvl w:val="1"/>
        <w:ind w:firstLine="540"/>
        <w:jc w:val="both"/>
      </w:pPr>
      <w:r>
        <w:rPr>
          <w:sz w:val="20"/>
        </w:rPr>
        <w:t xml:space="preserve">Статья 10</w:t>
      </w:r>
    </w:p>
    <w:p>
      <w:pPr>
        <w:pStyle w:val="0"/>
        <w:jc w:val="both"/>
      </w:pPr>
      <w:r>
        <w:rPr>
          <w:sz w:val="20"/>
        </w:rPr>
      </w:r>
    </w:p>
    <w:p>
      <w:pPr>
        <w:pStyle w:val="0"/>
        <w:ind w:firstLine="540"/>
        <w:jc w:val="both"/>
      </w:pPr>
      <w:r>
        <w:rPr>
          <w:sz w:val="20"/>
        </w:rPr>
        <w:t xml:space="preserve">1. Органами Общественной палаты являются:</w:t>
      </w:r>
    </w:p>
    <w:p>
      <w:pPr>
        <w:pStyle w:val="0"/>
        <w:spacing w:before="200" w:lineRule="auto"/>
        <w:ind w:firstLine="540"/>
        <w:jc w:val="both"/>
      </w:pPr>
      <w:r>
        <w:rPr>
          <w:sz w:val="20"/>
        </w:rPr>
        <w:t xml:space="preserve">1) совет Общественной палаты;</w:t>
      </w:r>
    </w:p>
    <w:p>
      <w:pPr>
        <w:pStyle w:val="0"/>
        <w:spacing w:before="200" w:lineRule="auto"/>
        <w:ind w:firstLine="540"/>
        <w:jc w:val="both"/>
      </w:pPr>
      <w:r>
        <w:rPr>
          <w:sz w:val="20"/>
        </w:rPr>
        <w:t xml:space="preserve">2) председатель Общественной палаты;</w:t>
      </w:r>
    </w:p>
    <w:p>
      <w:pPr>
        <w:pStyle w:val="0"/>
        <w:spacing w:before="200" w:lineRule="auto"/>
        <w:ind w:firstLine="540"/>
        <w:jc w:val="both"/>
      </w:pPr>
      <w:r>
        <w:rPr>
          <w:sz w:val="20"/>
        </w:rPr>
        <w:t xml:space="preserve">3) постоянные комиссии Общественной палаты.</w:t>
      </w:r>
    </w:p>
    <w:p>
      <w:pPr>
        <w:pStyle w:val="0"/>
        <w:spacing w:before="200" w:lineRule="auto"/>
        <w:ind w:firstLine="540"/>
        <w:jc w:val="both"/>
      </w:pPr>
      <w:r>
        <w:rPr>
          <w:sz w:val="20"/>
        </w:rPr>
        <w:t xml:space="preserve">2. К исключительной компетенции Общественной палаты относится решение следующих вопросов:</w:t>
      </w:r>
    </w:p>
    <w:p>
      <w:pPr>
        <w:pStyle w:val="0"/>
        <w:spacing w:before="200" w:lineRule="auto"/>
        <w:ind w:firstLine="540"/>
        <w:jc w:val="both"/>
      </w:pPr>
      <w:r>
        <w:rPr>
          <w:sz w:val="20"/>
        </w:rPr>
        <w:t xml:space="preserve">1) утверждение Регламента Общественной палаты и внесение в него изменений;</w:t>
      </w:r>
    </w:p>
    <w:bookmarkStart w:id="113" w:name="P113"/>
    <w:bookmarkEnd w:id="113"/>
    <w:p>
      <w:pPr>
        <w:pStyle w:val="0"/>
        <w:spacing w:before="200" w:lineRule="auto"/>
        <w:ind w:firstLine="540"/>
        <w:jc w:val="both"/>
      </w:pPr>
      <w:r>
        <w:rPr>
          <w:sz w:val="20"/>
        </w:rPr>
        <w:t xml:space="preserve">2) избрание председателя Общественной палаты;</w:t>
      </w:r>
    </w:p>
    <w:p>
      <w:pPr>
        <w:pStyle w:val="0"/>
        <w:spacing w:before="200" w:lineRule="auto"/>
        <w:ind w:firstLine="540"/>
        <w:jc w:val="both"/>
      </w:pPr>
      <w:r>
        <w:rPr>
          <w:sz w:val="20"/>
        </w:rPr>
        <w:t xml:space="preserve">3) утверждение количества постоянных комиссий Общественной палаты, их наименований и определение направлений их деятельности;</w:t>
      </w:r>
    </w:p>
    <w:bookmarkStart w:id="115" w:name="P115"/>
    <w:bookmarkEnd w:id="115"/>
    <w:p>
      <w:pPr>
        <w:pStyle w:val="0"/>
        <w:spacing w:before="200" w:lineRule="auto"/>
        <w:ind w:firstLine="540"/>
        <w:jc w:val="both"/>
      </w:pPr>
      <w:r>
        <w:rPr>
          <w:sz w:val="20"/>
        </w:rPr>
        <w:t xml:space="preserve">4) избрание председателей постоянных комиссий Общественной палаты и их заместителей.</w:t>
      </w:r>
    </w:p>
    <w:p>
      <w:pPr>
        <w:pStyle w:val="0"/>
        <w:spacing w:before="200" w:lineRule="auto"/>
        <w:ind w:firstLine="540"/>
        <w:jc w:val="both"/>
      </w:pPr>
      <w:r>
        <w:rPr>
          <w:sz w:val="20"/>
        </w:rPr>
        <w:t xml:space="preserve">3.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pPr>
        <w:pStyle w:val="0"/>
        <w:spacing w:before="200" w:lineRule="auto"/>
        <w:ind w:firstLine="540"/>
        <w:jc w:val="both"/>
      </w:pPr>
      <w:r>
        <w:rPr>
          <w:sz w:val="20"/>
        </w:rPr>
        <w:t xml:space="preserve">4. Вопросы, указанные в </w:t>
      </w:r>
      <w:hyperlink w:history="0" w:anchor="P113" w:tooltip="2) избрание председателя Общественной палаты;">
        <w:r>
          <w:rPr>
            <w:sz w:val="20"/>
            <w:color w:val="0000ff"/>
          </w:rPr>
          <w:t xml:space="preserve">пунктах 2</w:t>
        </w:r>
      </w:hyperlink>
      <w:r>
        <w:rPr>
          <w:sz w:val="20"/>
        </w:rPr>
        <w:t xml:space="preserve"> - </w:t>
      </w:r>
      <w:hyperlink w:history="0" w:anchor="P115" w:tooltip="4) избрание председателей постоянных комиссий Общественной палаты и их заместителей.">
        <w:r>
          <w:rPr>
            <w:sz w:val="20"/>
            <w:color w:val="0000ff"/>
          </w:rPr>
          <w:t xml:space="preserve">4 части 2</w:t>
        </w:r>
      </w:hyperlink>
      <w:r>
        <w:rPr>
          <w:sz w:val="20"/>
        </w:rPr>
        <w:t xml:space="preserve"> настоящей статьи, должны быть рассмотрены на первом заседании Общественной палаты, образованной в правомочном составе.</w:t>
      </w:r>
    </w:p>
    <w:p>
      <w:pPr>
        <w:pStyle w:val="0"/>
        <w:spacing w:before="200" w:lineRule="auto"/>
        <w:ind w:firstLine="540"/>
        <w:jc w:val="both"/>
      </w:pPr>
      <w:r>
        <w:rPr>
          <w:sz w:val="20"/>
        </w:rPr>
        <w:t xml:space="preserve">5. В совет Общественной палаты входят председатель Общественной палаты, председатели постоянных комиссий Общественной палаты, член Общественной палаты, являющийся представителем в составе Общественной палаты Российской Федерации, руководитель аппарата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pPr>
        <w:pStyle w:val="0"/>
        <w:spacing w:before="200" w:lineRule="auto"/>
        <w:ind w:firstLine="540"/>
        <w:jc w:val="both"/>
      </w:pPr>
      <w:r>
        <w:rPr>
          <w:sz w:val="20"/>
        </w:rPr>
        <w:t xml:space="preserve">6. Совет Общественной палаты:</w:t>
      </w:r>
    </w:p>
    <w:p>
      <w:pPr>
        <w:pStyle w:val="0"/>
        <w:spacing w:before="200" w:lineRule="auto"/>
        <w:ind w:firstLine="540"/>
        <w:jc w:val="both"/>
      </w:pPr>
      <w:r>
        <w:rPr>
          <w:sz w:val="20"/>
        </w:rPr>
        <w:t xml:space="preserve">1) утверждает план работы Общественной палаты на год и вносит в него изменения;</w:t>
      </w:r>
    </w:p>
    <w:p>
      <w:pPr>
        <w:pStyle w:val="0"/>
        <w:spacing w:before="200" w:lineRule="auto"/>
        <w:ind w:firstLine="540"/>
        <w:jc w:val="both"/>
      </w:pPr>
      <w:r>
        <w:rPr>
          <w:sz w:val="20"/>
        </w:rPr>
        <w:t xml:space="preserve">2) принимает решение о проведении внеочередного заседания Общественной палаты;</w:t>
      </w:r>
    </w:p>
    <w:p>
      <w:pPr>
        <w:pStyle w:val="0"/>
        <w:spacing w:before="200" w:lineRule="auto"/>
        <w:ind w:firstLine="540"/>
        <w:jc w:val="both"/>
      </w:pPr>
      <w:r>
        <w:rPr>
          <w:sz w:val="20"/>
        </w:rPr>
        <w:t xml:space="preserve">3) определяет дату проведения и утверждает проект повестки дня заседания Общественной палаты;</w:t>
      </w:r>
    </w:p>
    <w:p>
      <w:pPr>
        <w:pStyle w:val="0"/>
        <w:spacing w:before="200" w:lineRule="auto"/>
        <w:ind w:firstLine="540"/>
        <w:jc w:val="both"/>
      </w:pPr>
      <w:r>
        <w:rPr>
          <w:sz w:val="20"/>
        </w:rPr>
        <w:t xml:space="preserve">4) вносит в порядке, установленном настоящим законом, предложение по кандидатуре на должность руководителя аппарата Общественной палаты;</w:t>
      </w:r>
    </w:p>
    <w:p>
      <w:pPr>
        <w:pStyle w:val="0"/>
        <w:spacing w:before="200" w:lineRule="auto"/>
        <w:ind w:firstLine="540"/>
        <w:jc w:val="both"/>
      </w:pPr>
      <w:r>
        <w:rPr>
          <w:sz w:val="20"/>
        </w:rPr>
        <w:t xml:space="preserve">5) принимает решение о привлечении к работе Общественной палаты граждан и некоммерческих организаций, представители которых не вошли в ее состав;</w:t>
      </w:r>
    </w:p>
    <w:p>
      <w:pPr>
        <w:pStyle w:val="0"/>
        <w:spacing w:before="200" w:lineRule="auto"/>
        <w:ind w:firstLine="540"/>
        <w:jc w:val="both"/>
      </w:pPr>
      <w:r>
        <w:rPr>
          <w:sz w:val="20"/>
        </w:rPr>
        <w:t xml:space="preserve">6) направляет запросы Общественной палаты в территориальные органы федеральных органов исполнительной власти, органы государственной власти области,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области;</w:t>
      </w:r>
    </w:p>
    <w:p>
      <w:pPr>
        <w:pStyle w:val="0"/>
        <w:spacing w:before="200" w:lineRule="auto"/>
        <w:ind w:firstLine="540"/>
        <w:jc w:val="both"/>
      </w:pPr>
      <w:r>
        <w:rPr>
          <w:sz w:val="20"/>
        </w:rPr>
        <w:t xml:space="preserve">7) разрабатывает и представляет на утверждение Общественной палаты Кодекс этики;</w:t>
      </w:r>
    </w:p>
    <w:p>
      <w:pPr>
        <w:pStyle w:val="0"/>
        <w:spacing w:before="200" w:lineRule="auto"/>
        <w:ind w:firstLine="540"/>
        <w:jc w:val="both"/>
      </w:pPr>
      <w:r>
        <w:rPr>
          <w:sz w:val="20"/>
        </w:rPr>
        <w:t xml:space="preserve">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w:t>
      </w:r>
    </w:p>
    <w:p>
      <w:pPr>
        <w:pStyle w:val="0"/>
        <w:spacing w:before="200" w:lineRule="auto"/>
        <w:ind w:firstLine="540"/>
        <w:jc w:val="both"/>
      </w:pPr>
      <w:r>
        <w:rPr>
          <w:sz w:val="20"/>
        </w:rPr>
        <w:t xml:space="preserve">9) вносит предложения по изменению Регламента Общественной палаты;</w:t>
      </w:r>
    </w:p>
    <w:p>
      <w:pPr>
        <w:pStyle w:val="0"/>
        <w:spacing w:before="200" w:lineRule="auto"/>
        <w:ind w:firstLine="540"/>
        <w:jc w:val="both"/>
      </w:pPr>
      <w:r>
        <w:rPr>
          <w:sz w:val="20"/>
        </w:rPr>
        <w:t xml:space="preserve">10) осуществляет иные полномочия в соответствии с законодательством области и Регламентом Общественной палаты.</w:t>
      </w:r>
    </w:p>
    <w:p>
      <w:pPr>
        <w:pStyle w:val="0"/>
        <w:spacing w:before="200" w:lineRule="auto"/>
        <w:ind w:firstLine="540"/>
        <w:jc w:val="both"/>
      </w:pPr>
      <w:r>
        <w:rPr>
          <w:sz w:val="20"/>
        </w:rPr>
        <w:t xml:space="preserve">7. Председатель Общественной палаты избирается из числа членов Общественной палаты открытым голосованием.</w:t>
      </w:r>
    </w:p>
    <w:p>
      <w:pPr>
        <w:pStyle w:val="0"/>
        <w:spacing w:before="200" w:lineRule="auto"/>
        <w:ind w:firstLine="540"/>
        <w:jc w:val="both"/>
      </w:pPr>
      <w:r>
        <w:rPr>
          <w:sz w:val="20"/>
        </w:rPr>
        <w:t xml:space="preserve">8. Председатель Общественной палаты:</w:t>
      </w:r>
    </w:p>
    <w:p>
      <w:pPr>
        <w:pStyle w:val="0"/>
        <w:spacing w:before="200" w:lineRule="auto"/>
        <w:ind w:firstLine="540"/>
        <w:jc w:val="both"/>
      </w:pPr>
      <w:r>
        <w:rPr>
          <w:sz w:val="20"/>
        </w:rPr>
        <w:t xml:space="preserve">1) организует работу совета Общественной палаты;</w:t>
      </w:r>
    </w:p>
    <w:p>
      <w:pPr>
        <w:pStyle w:val="0"/>
        <w:spacing w:before="200" w:lineRule="auto"/>
        <w:ind w:firstLine="540"/>
        <w:jc w:val="both"/>
      </w:pPr>
      <w:r>
        <w:rPr>
          <w:sz w:val="20"/>
        </w:rPr>
        <w:t xml:space="preserve">2) 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pPr>
        <w:pStyle w:val="0"/>
        <w:spacing w:before="200" w:lineRule="auto"/>
        <w:ind w:firstLine="540"/>
        <w:jc w:val="both"/>
      </w:pPr>
      <w:r>
        <w:rPr>
          <w:sz w:val="20"/>
        </w:rPr>
        <w:t xml:space="preserve">3) выступает с предложением о проведении внеочередного заседания совета Общественной палаты;</w:t>
      </w:r>
    </w:p>
    <w:p>
      <w:pPr>
        <w:pStyle w:val="0"/>
        <w:spacing w:before="200" w:lineRule="auto"/>
        <w:ind w:firstLine="540"/>
        <w:jc w:val="both"/>
      </w:pPr>
      <w:r>
        <w:rPr>
          <w:sz w:val="20"/>
        </w:rPr>
        <w:t xml:space="preserve">4) подписывает решения, обращения и иные документы, принятые Общественной палатой, советом Общественной палаты, а также запросы Общественной палаты;</w:t>
      </w:r>
    </w:p>
    <w:p>
      <w:pPr>
        <w:pStyle w:val="0"/>
        <w:spacing w:before="200" w:lineRule="auto"/>
        <w:ind w:firstLine="540"/>
        <w:jc w:val="both"/>
      </w:pPr>
      <w:r>
        <w:rPr>
          <w:sz w:val="20"/>
        </w:rPr>
        <w:t xml:space="preserve">5) осуществляет общее руководство деятельностью аппарата Общественной палаты;</w:t>
      </w:r>
    </w:p>
    <w:p>
      <w:pPr>
        <w:pStyle w:val="0"/>
        <w:spacing w:before="200" w:lineRule="auto"/>
        <w:ind w:firstLine="540"/>
        <w:jc w:val="both"/>
      </w:pPr>
      <w:r>
        <w:rPr>
          <w:sz w:val="20"/>
        </w:rPr>
        <w:t xml:space="preserve">6) осуществляет иные полномочия в соответствии с законодательством области и Регламентом Общественной палаты.</w:t>
      </w:r>
    </w:p>
    <w:p>
      <w:pPr>
        <w:pStyle w:val="0"/>
        <w:spacing w:before="200" w:lineRule="auto"/>
        <w:ind w:firstLine="540"/>
        <w:jc w:val="both"/>
      </w:pPr>
      <w:r>
        <w:rPr>
          <w:sz w:val="20"/>
        </w:rPr>
        <w:t xml:space="preserve">9. В состав постоянных комиссий Общественной палаты входят члены Общественной палаты.</w:t>
      </w:r>
    </w:p>
    <w:p>
      <w:pPr>
        <w:pStyle w:val="0"/>
        <w:spacing w:before="200" w:lineRule="auto"/>
        <w:ind w:firstLine="540"/>
        <w:jc w:val="both"/>
      </w:pPr>
      <w:r>
        <w:rPr>
          <w:sz w:val="20"/>
        </w:rPr>
        <w:t xml:space="preserve">10. Общественной палатой, советом Общественной палаты могут создаваться временные комиссии и рабочие группы, в состав которых могут входить члены Общественной палаты, представители некоммерческих организаций, другие граждане. Временные комиссии и рабочие группы создаются для целей проведения общественной экспертизы проектов нормативных правовых актов, а также для иных целей.</w:t>
      </w:r>
    </w:p>
    <w:p>
      <w:pPr>
        <w:pStyle w:val="0"/>
        <w:jc w:val="both"/>
      </w:pPr>
      <w:r>
        <w:rPr>
          <w:sz w:val="20"/>
        </w:rPr>
      </w:r>
    </w:p>
    <w:p>
      <w:pPr>
        <w:pStyle w:val="2"/>
        <w:outlineLvl w:val="1"/>
        <w:ind w:firstLine="540"/>
        <w:jc w:val="both"/>
      </w:pPr>
      <w:r>
        <w:rPr>
          <w:sz w:val="20"/>
        </w:rPr>
        <w:t xml:space="preserve">Статья 11</w:t>
      </w:r>
    </w:p>
    <w:p>
      <w:pPr>
        <w:pStyle w:val="0"/>
        <w:jc w:val="both"/>
      </w:pPr>
      <w:r>
        <w:rPr>
          <w:sz w:val="20"/>
        </w:rPr>
      </w:r>
    </w:p>
    <w:p>
      <w:pPr>
        <w:pStyle w:val="0"/>
        <w:ind w:firstLine="540"/>
        <w:jc w:val="both"/>
      </w:pPr>
      <w:r>
        <w:rPr>
          <w:sz w:val="20"/>
        </w:rPr>
        <w:t xml:space="preserve">Полномочия члена Общественной палаты приостанавливаются и прекращаются в порядке, предусмотренном Регламентом Общественной палаты, в случаях, определенных Федеральным законом.</w:t>
      </w:r>
    </w:p>
    <w:p>
      <w:pPr>
        <w:pStyle w:val="0"/>
        <w:jc w:val="both"/>
      </w:pPr>
      <w:r>
        <w:rPr>
          <w:sz w:val="20"/>
        </w:rPr>
      </w:r>
    </w:p>
    <w:p>
      <w:pPr>
        <w:pStyle w:val="2"/>
        <w:outlineLvl w:val="1"/>
        <w:ind w:firstLine="540"/>
        <w:jc w:val="both"/>
      </w:pPr>
      <w:r>
        <w:rPr>
          <w:sz w:val="20"/>
        </w:rPr>
        <w:t xml:space="preserve">Статья 12</w:t>
      </w:r>
    </w:p>
    <w:p>
      <w:pPr>
        <w:pStyle w:val="0"/>
        <w:jc w:val="both"/>
      </w:pPr>
      <w:r>
        <w:rPr>
          <w:sz w:val="20"/>
        </w:rPr>
      </w:r>
    </w:p>
    <w:p>
      <w:pPr>
        <w:pStyle w:val="0"/>
        <w:ind w:firstLine="540"/>
        <w:jc w:val="both"/>
      </w:pPr>
      <w:r>
        <w:rPr>
          <w:sz w:val="20"/>
        </w:rPr>
        <w:t xml:space="preserve">1. Основными формами деятельности Общественной палаты являются заседания Общественной палаты, заседания совета Общественной палаты, заседания постоянных комиссий.</w:t>
      </w:r>
    </w:p>
    <w:p>
      <w:pPr>
        <w:pStyle w:val="0"/>
        <w:spacing w:before="200" w:lineRule="auto"/>
        <w:ind w:firstLine="540"/>
        <w:jc w:val="both"/>
      </w:pPr>
      <w:r>
        <w:rPr>
          <w:sz w:val="20"/>
        </w:rPr>
        <w:t xml:space="preserve">2. Первое заседание Общественной палаты нового состава созывается губернатором области и открывается старейшим членом Общественной палаты.</w:t>
      </w:r>
    </w:p>
    <w:p>
      <w:pPr>
        <w:pStyle w:val="0"/>
        <w:spacing w:before="200" w:lineRule="auto"/>
        <w:ind w:firstLine="540"/>
        <w:jc w:val="both"/>
      </w:pPr>
      <w:r>
        <w:rPr>
          <w:sz w:val="20"/>
        </w:rPr>
        <w:t xml:space="preserve">3. Заседания Общественной палаты проводятся в соответствии с планом работы Общественной палаты, но не реже одного раза в четыре месяца.</w:t>
      </w:r>
    </w:p>
    <w:p>
      <w:pPr>
        <w:pStyle w:val="0"/>
        <w:spacing w:before="200" w:lineRule="auto"/>
        <w:ind w:firstLine="540"/>
        <w:jc w:val="both"/>
      </w:pPr>
      <w:r>
        <w:rPr>
          <w:sz w:val="20"/>
        </w:rPr>
        <w:t xml:space="preserve">4. Заседание Общественной палаты считается правомочным, если на нем присутствует более половины установленного числа членов Общественной палаты.</w:t>
      </w:r>
    </w:p>
    <w:p>
      <w:pPr>
        <w:pStyle w:val="0"/>
        <w:spacing w:before="200" w:lineRule="auto"/>
        <w:ind w:firstLine="540"/>
        <w:jc w:val="both"/>
      </w:pPr>
      <w:r>
        <w:rPr>
          <w:sz w:val="20"/>
        </w:rPr>
        <w:t xml:space="preserve">5. Решения Общественной палаты принимаются в форме заключений, предложений и обращений и носят рекомендательный характер.</w:t>
      </w:r>
    </w:p>
    <w:p>
      <w:pPr>
        <w:pStyle w:val="0"/>
        <w:spacing w:before="200" w:lineRule="auto"/>
        <w:ind w:firstLine="540"/>
        <w:jc w:val="both"/>
      </w:pPr>
      <w:r>
        <w:rPr>
          <w:sz w:val="20"/>
        </w:rPr>
        <w:t xml:space="preserve">6. Вопросы организации деятельности Общественной палаты в части, не урегулированной Федеральным законом, другими федеральными законами, настоящим законом, определяются Регламентом Общественной палаты.</w:t>
      </w:r>
    </w:p>
    <w:p>
      <w:pPr>
        <w:pStyle w:val="0"/>
        <w:spacing w:before="200" w:lineRule="auto"/>
        <w:ind w:firstLine="540"/>
        <w:jc w:val="both"/>
      </w:pPr>
      <w:r>
        <w:rPr>
          <w:sz w:val="20"/>
        </w:rPr>
        <w:t xml:space="preserve">7. Общественная палата имеет права, установленные Федеральным законом, иными федеральными законами, законами области.</w:t>
      </w:r>
    </w:p>
    <w:p>
      <w:pPr>
        <w:pStyle w:val="0"/>
        <w:jc w:val="both"/>
      </w:pPr>
      <w:r>
        <w:rPr>
          <w:sz w:val="20"/>
        </w:rPr>
      </w:r>
    </w:p>
    <w:p>
      <w:pPr>
        <w:pStyle w:val="2"/>
        <w:outlineLvl w:val="1"/>
        <w:ind w:firstLine="540"/>
        <w:jc w:val="both"/>
      </w:pPr>
      <w:r>
        <w:rPr>
          <w:sz w:val="20"/>
        </w:rPr>
        <w:t xml:space="preserve">Статья 13</w:t>
      </w:r>
    </w:p>
    <w:p>
      <w:pPr>
        <w:pStyle w:val="0"/>
        <w:jc w:val="both"/>
      </w:pPr>
      <w:r>
        <w:rPr>
          <w:sz w:val="20"/>
        </w:rPr>
      </w:r>
    </w:p>
    <w:p>
      <w:pPr>
        <w:pStyle w:val="0"/>
        <w:ind w:firstLine="540"/>
        <w:jc w:val="both"/>
      </w:pPr>
      <w:r>
        <w:rPr>
          <w:sz w:val="20"/>
        </w:rPr>
        <w:t xml:space="preserve">1. Территориальные органы федеральных органов исполнительной власти, органы государственной власти области, органы местного самоуправления и их должностные лица,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В исключительных случаях руководитель территориального органа федерального органа исполнительной власти или органа государственной власти области,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тридцать дней, уведомив об этом Общественную палату.</w:t>
      </w:r>
    </w:p>
    <w:p>
      <w:pPr>
        <w:pStyle w:val="0"/>
        <w:spacing w:before="200" w:lineRule="auto"/>
        <w:ind w:firstLine="540"/>
        <w:jc w:val="both"/>
      </w:pPr>
      <w:r>
        <w:rPr>
          <w:sz w:val="20"/>
        </w:rPr>
        <w:t xml:space="preserve">2. Ответ на запрос Общественной палаты должен быть подписан должностным лицом, которому направлен запрос, либо лицом, исполняющим его обязанности.</w:t>
      </w:r>
    </w:p>
    <w:p>
      <w:pPr>
        <w:pStyle w:val="0"/>
        <w:spacing w:before="200" w:lineRule="auto"/>
        <w:ind w:firstLine="540"/>
        <w:jc w:val="both"/>
      </w:pPr>
      <w:r>
        <w:rPr>
          <w:sz w:val="20"/>
        </w:rPr>
        <w:t xml:space="preserve">3. Органы государственной власти области,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Федеральным законом, нормативными правовыми актами области, Регламентом Общественной палаты.</w:t>
      </w:r>
    </w:p>
    <w:p>
      <w:pPr>
        <w:pStyle w:val="0"/>
        <w:jc w:val="both"/>
      </w:pPr>
      <w:r>
        <w:rPr>
          <w:sz w:val="20"/>
        </w:rPr>
      </w:r>
    </w:p>
    <w:p>
      <w:pPr>
        <w:pStyle w:val="2"/>
        <w:outlineLvl w:val="1"/>
        <w:ind w:firstLine="540"/>
        <w:jc w:val="both"/>
      </w:pPr>
      <w:r>
        <w:rPr>
          <w:sz w:val="20"/>
        </w:rPr>
        <w:t xml:space="preserve">Статья 14</w:t>
      </w:r>
    </w:p>
    <w:p>
      <w:pPr>
        <w:pStyle w:val="0"/>
        <w:jc w:val="both"/>
      </w:pPr>
      <w:r>
        <w:rPr>
          <w:sz w:val="20"/>
        </w:rPr>
      </w:r>
    </w:p>
    <w:p>
      <w:pPr>
        <w:pStyle w:val="0"/>
        <w:ind w:firstLine="540"/>
        <w:jc w:val="both"/>
      </w:pPr>
      <w:r>
        <w:rPr>
          <w:sz w:val="20"/>
        </w:rPr>
        <w:t xml:space="preserve">1.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аппаратом Общественной палаты в порядке, установленном правительством области.</w:t>
      </w:r>
    </w:p>
    <w:p>
      <w:pPr>
        <w:pStyle w:val="0"/>
        <w:jc w:val="both"/>
      </w:pPr>
      <w:r>
        <w:rPr>
          <w:sz w:val="20"/>
        </w:rPr>
        <w:t xml:space="preserve">(в ред. </w:t>
      </w:r>
      <w:hyperlink w:history="0" r:id="rId19" w:tooltip="Закон ЕАО от 29.10.2025 N 597-ОЗ &quot;О внесении изменений в статьи 14 и 14.1 закона ЕАО &quot;Об Общественной палате Еврейской автономной области&quot; (принят ЗС ЕАО от 29.10.2025) {КонсультантПлюс}">
        <w:r>
          <w:rPr>
            <w:sz w:val="20"/>
            <w:color w:val="0000ff"/>
          </w:rPr>
          <w:t xml:space="preserve">закона</w:t>
        </w:r>
      </w:hyperlink>
      <w:r>
        <w:rPr>
          <w:sz w:val="20"/>
        </w:rPr>
        <w:t xml:space="preserve"> ЕАО от 29.10.2025 N 597-ОЗ)</w:t>
      </w:r>
    </w:p>
    <w:p>
      <w:pPr>
        <w:pStyle w:val="0"/>
        <w:spacing w:before="200" w:lineRule="auto"/>
        <w:ind w:firstLine="540"/>
        <w:jc w:val="both"/>
      </w:pPr>
      <w:r>
        <w:rPr>
          <w:sz w:val="20"/>
        </w:rPr>
        <w:t xml:space="preserve">2. Аппарат Общественной палаты является государственным казенным учреждением области, имеющим печать с изображением герба области и со своим наименованием.</w:t>
      </w:r>
    </w:p>
    <w:p>
      <w:pPr>
        <w:pStyle w:val="0"/>
        <w:jc w:val="both"/>
      </w:pPr>
      <w:r>
        <w:rPr>
          <w:sz w:val="20"/>
        </w:rPr>
        <w:t xml:space="preserve">(часть 2 в ред. </w:t>
      </w:r>
      <w:hyperlink w:history="0" r:id="rId20" w:tooltip="Закон ЕАО от 29.10.2025 N 597-ОЗ &quot;О внесении изменений в статьи 14 и 14.1 закона ЕАО &quot;Об Общественной палате Еврейской автономной области&quot; (принят ЗС ЕАО от 29.10.2025) {КонсультантПлюс}">
        <w:r>
          <w:rPr>
            <w:sz w:val="20"/>
            <w:color w:val="0000ff"/>
          </w:rPr>
          <w:t xml:space="preserve">закона</w:t>
        </w:r>
      </w:hyperlink>
      <w:r>
        <w:rPr>
          <w:sz w:val="20"/>
        </w:rPr>
        <w:t xml:space="preserve"> ЕАО от 29.10.2025 N 597-ОЗ)</w:t>
      </w:r>
    </w:p>
    <w:p>
      <w:pPr>
        <w:pStyle w:val="0"/>
        <w:spacing w:before="200" w:lineRule="auto"/>
        <w:ind w:firstLine="540"/>
        <w:jc w:val="both"/>
      </w:pPr>
      <w:r>
        <w:rPr>
          <w:sz w:val="20"/>
        </w:rPr>
        <w:t xml:space="preserve">3. Руководитель аппарата Общественной палаты назначается на должность и освобождается от должности правительством области по представлению совета Общественной палаты.</w:t>
      </w:r>
    </w:p>
    <w:p>
      <w:pPr>
        <w:pStyle w:val="0"/>
        <w:jc w:val="both"/>
      </w:pPr>
      <w:r>
        <w:rPr>
          <w:sz w:val="20"/>
        </w:rPr>
      </w:r>
    </w:p>
    <w:p>
      <w:pPr>
        <w:pStyle w:val="2"/>
        <w:outlineLvl w:val="1"/>
        <w:ind w:firstLine="540"/>
        <w:jc w:val="both"/>
      </w:pPr>
      <w:r>
        <w:rPr>
          <w:sz w:val="20"/>
        </w:rPr>
        <w:t xml:space="preserve">Статья 14.1</w:t>
      </w:r>
    </w:p>
    <w:p>
      <w:pPr>
        <w:pStyle w:val="0"/>
        <w:ind w:firstLine="540"/>
        <w:jc w:val="both"/>
      </w:pPr>
      <w:r>
        <w:rPr>
          <w:sz w:val="20"/>
        </w:rPr>
      </w:r>
    </w:p>
    <w:p>
      <w:pPr>
        <w:pStyle w:val="0"/>
        <w:ind w:firstLine="540"/>
        <w:jc w:val="both"/>
      </w:pPr>
      <w:r>
        <w:rPr>
          <w:sz w:val="20"/>
        </w:rPr>
        <w:t xml:space="preserve">(введена </w:t>
      </w:r>
      <w:hyperlink w:history="0" r:id="rId21" w:tooltip="Закон ЕАО от 29.05.2024 N 393-ОЗ &quot;О внесении изменения в закон ЕАО &quot;Об Общественной палате Еврейской автономной области&quot; (принят ЗС ЕАО от 29.05.2024) {КонсультантПлюс}">
        <w:r>
          <w:rPr>
            <w:sz w:val="20"/>
            <w:color w:val="0000ff"/>
          </w:rPr>
          <w:t xml:space="preserve">законом</w:t>
        </w:r>
      </w:hyperlink>
      <w:r>
        <w:rPr>
          <w:sz w:val="20"/>
        </w:rPr>
        <w:t xml:space="preserve"> ЕАО от 29.05.2024 N 393-ОЗ)</w:t>
      </w:r>
    </w:p>
    <w:p>
      <w:pPr>
        <w:pStyle w:val="0"/>
        <w:jc w:val="both"/>
      </w:pPr>
      <w:r>
        <w:rPr>
          <w:sz w:val="20"/>
        </w:rPr>
      </w:r>
    </w:p>
    <w:bookmarkStart w:id="173" w:name="P173"/>
    <w:bookmarkEnd w:id="173"/>
    <w:p>
      <w:pPr>
        <w:pStyle w:val="0"/>
        <w:ind w:firstLine="540"/>
        <w:jc w:val="both"/>
      </w:pPr>
      <w:r>
        <w:rPr>
          <w:sz w:val="20"/>
        </w:rPr>
        <w:t xml:space="preserve">1. Общественная палата за счет средств областного бюджета возмещает расходы, связанные с осуществлением полномочий членов общественной наблюдательной комиссии области, образованной в соответствии с Федеральным </w:t>
      </w:r>
      <w:hyperlink w:history="0" r:id="rId22" w:tooltip="Федеральный закон от 10.06.2008 N 76-ФЗ (ред. от 01.04.2025)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 Недействующая редакция {КонсультантПлюс}">
        <w:r>
          <w:rPr>
            <w:sz w:val="20"/>
            <w:color w:val="0000ff"/>
          </w:rPr>
          <w:t xml:space="preserve">законом</w:t>
        </w:r>
      </w:hyperlink>
      <w:r>
        <w:rPr>
          <w:sz w:val="20"/>
        </w:rPr>
        <w:t xml:space="preserve"> от 10.06.2008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оказывает содействие в материально-техническом и информационном обеспечении деятельности общественной наблюдательной комиссии области.</w:t>
      </w:r>
    </w:p>
    <w:p>
      <w:pPr>
        <w:pStyle w:val="0"/>
        <w:jc w:val="both"/>
      </w:pPr>
      <w:r>
        <w:rPr>
          <w:sz w:val="20"/>
        </w:rPr>
        <w:t xml:space="preserve">(в ред. </w:t>
      </w:r>
      <w:hyperlink w:history="0" r:id="rId23" w:tooltip="Закон ЕАО от 29.10.2025 N 597-ОЗ &quot;О внесении изменений в статьи 14 и 14.1 закона ЕАО &quot;Об Общественной палате Еврейской автономной области&quot; (принят ЗС ЕАО от 29.10.2025) {КонсультантПлюс}">
        <w:r>
          <w:rPr>
            <w:sz w:val="20"/>
            <w:color w:val="0000ff"/>
          </w:rPr>
          <w:t xml:space="preserve">закона</w:t>
        </w:r>
      </w:hyperlink>
      <w:r>
        <w:rPr>
          <w:sz w:val="20"/>
        </w:rPr>
        <w:t xml:space="preserve"> ЕАО от 29.10.2025 N 597-ОЗ)</w:t>
      </w:r>
    </w:p>
    <w:p>
      <w:pPr>
        <w:pStyle w:val="0"/>
        <w:spacing w:before="200" w:lineRule="auto"/>
        <w:ind w:firstLine="540"/>
        <w:jc w:val="both"/>
      </w:pPr>
      <w:r>
        <w:rPr>
          <w:sz w:val="20"/>
        </w:rPr>
        <w:t xml:space="preserve">2. Порядок возмещения расходов, указанных в </w:t>
      </w:r>
      <w:hyperlink w:history="0" w:anchor="P173" w:tooltip="1. Общественная палата за счет средств областного бюджета возмещает расходы, связанные с осуществлением полномочий членов общественной наблюдательной комиссии области, образованной в соответствии с Федеральным законом от 10.06.2008 N 76-ФЗ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и оказывает содействие в материально-техническом и информационном обеспечении деятельности общественной н...">
        <w:r>
          <w:rPr>
            <w:sz w:val="20"/>
            <w:color w:val="0000ff"/>
          </w:rPr>
          <w:t xml:space="preserve">части 1</w:t>
        </w:r>
      </w:hyperlink>
      <w:r>
        <w:rPr>
          <w:sz w:val="20"/>
        </w:rPr>
        <w:t xml:space="preserve"> настоящей статьи, устанавливается правительством области.</w:t>
      </w:r>
    </w:p>
    <w:p>
      <w:pPr>
        <w:pStyle w:val="0"/>
        <w:jc w:val="both"/>
      </w:pPr>
      <w:r>
        <w:rPr>
          <w:sz w:val="20"/>
        </w:rPr>
        <w:t xml:space="preserve">(абзац введен </w:t>
      </w:r>
      <w:hyperlink w:history="0" r:id="rId24" w:tooltip="Закон ЕАО от 29.10.2025 N 597-ОЗ &quot;О внесении изменений в статьи 14 и 14.1 закона ЕАО &quot;Об Общественной палате Еврейской автономной области&quot; (принят ЗС ЕАО от 29.10.2025) {КонсультантПлюс}">
        <w:r>
          <w:rPr>
            <w:sz w:val="20"/>
            <w:color w:val="0000ff"/>
          </w:rPr>
          <w:t xml:space="preserve">законом</w:t>
        </w:r>
      </w:hyperlink>
      <w:r>
        <w:rPr>
          <w:sz w:val="20"/>
        </w:rPr>
        <w:t xml:space="preserve"> ЕАО от 29.10.2025 N 597-ОЗ)</w:t>
      </w:r>
    </w:p>
    <w:p>
      <w:pPr>
        <w:pStyle w:val="0"/>
        <w:jc w:val="both"/>
      </w:pPr>
      <w:r>
        <w:rPr>
          <w:sz w:val="20"/>
        </w:rPr>
      </w:r>
    </w:p>
    <w:p>
      <w:pPr>
        <w:pStyle w:val="2"/>
        <w:outlineLvl w:val="1"/>
        <w:ind w:firstLine="540"/>
        <w:jc w:val="both"/>
      </w:pPr>
      <w:r>
        <w:rPr>
          <w:sz w:val="20"/>
        </w:rPr>
        <w:t xml:space="preserve">Статья 15</w:t>
      </w:r>
    </w:p>
    <w:p>
      <w:pPr>
        <w:pStyle w:val="0"/>
        <w:jc w:val="both"/>
      </w:pPr>
      <w:r>
        <w:rPr>
          <w:sz w:val="20"/>
        </w:rPr>
      </w:r>
    </w:p>
    <w:p>
      <w:pPr>
        <w:pStyle w:val="0"/>
        <w:ind w:firstLine="540"/>
        <w:jc w:val="both"/>
      </w:pPr>
      <w:r>
        <w:rPr>
          <w:sz w:val="20"/>
        </w:rPr>
        <w:t xml:space="preserve">1. Финансовое обеспечение деятельности Общественной палаты является расходным обязательством области.</w:t>
      </w:r>
    </w:p>
    <w:p>
      <w:pPr>
        <w:pStyle w:val="0"/>
        <w:spacing w:before="200" w:lineRule="auto"/>
        <w:ind w:firstLine="540"/>
        <w:jc w:val="both"/>
      </w:pPr>
      <w:r>
        <w:rPr>
          <w:sz w:val="20"/>
        </w:rPr>
        <w:t xml:space="preserve">2. Финансовое обеспечение содержания аппарата Общественной палаты осуществляется за счет средств областного бюджета.</w:t>
      </w:r>
    </w:p>
    <w:p>
      <w:pPr>
        <w:pStyle w:val="0"/>
        <w:jc w:val="both"/>
      </w:pPr>
      <w:r>
        <w:rPr>
          <w:sz w:val="20"/>
        </w:rPr>
      </w:r>
    </w:p>
    <w:p>
      <w:pPr>
        <w:pStyle w:val="2"/>
        <w:outlineLvl w:val="1"/>
        <w:ind w:firstLine="540"/>
        <w:jc w:val="both"/>
      </w:pPr>
      <w:r>
        <w:rPr>
          <w:sz w:val="20"/>
        </w:rPr>
        <w:t xml:space="preserve">Статья 16</w:t>
      </w:r>
    </w:p>
    <w:p>
      <w:pPr>
        <w:pStyle w:val="0"/>
        <w:jc w:val="both"/>
      </w:pPr>
      <w:r>
        <w:rPr>
          <w:sz w:val="20"/>
        </w:rPr>
      </w:r>
    </w:p>
    <w:p>
      <w:pPr>
        <w:pStyle w:val="0"/>
        <w:ind w:firstLine="540"/>
        <w:jc w:val="both"/>
      </w:pPr>
      <w:r>
        <w:rPr>
          <w:sz w:val="20"/>
        </w:rPr>
        <w:t xml:space="preserve">1. Настоящий закон вступает в силу через 10 дней после дня его официального опубликования и применяется к правоотношениям, возникающим в связи с формированием и деятельностью Общественной палаты, формирование которой началось после дня вступления в силу настоящего закона.</w:t>
      </w:r>
    </w:p>
    <w:p>
      <w:pPr>
        <w:pStyle w:val="0"/>
        <w:spacing w:before="200" w:lineRule="auto"/>
        <w:ind w:firstLine="540"/>
        <w:jc w:val="both"/>
      </w:pPr>
      <w:r>
        <w:rPr>
          <w:sz w:val="20"/>
        </w:rPr>
        <w:t xml:space="preserve">2. К правоотношениям, связанным с формированием и деятельностью Общественной палаты действующего состава, возникшим до вступления в силу настоящего закона, применяются нормы </w:t>
      </w:r>
      <w:hyperlink w:history="0" r:id="rId25" w:tooltip="Закон ЕАО от 26.11.2012 N 187-ОЗ (ред. от 25.11.2015) &quot;Об Общественной палате Еврейской автономной области&quot; (принят ЗС ЕАО от 28.11.2012) {КонсультантПлюс}">
        <w:r>
          <w:rPr>
            <w:sz w:val="20"/>
            <w:color w:val="0000ff"/>
          </w:rPr>
          <w:t xml:space="preserve">закона</w:t>
        </w:r>
      </w:hyperlink>
      <w:r>
        <w:rPr>
          <w:sz w:val="20"/>
        </w:rPr>
        <w:t xml:space="preserve"> области от 26.11.2012 N 187-ОЗ "Об Общественной палате Еврейской автономной области".</w:t>
      </w:r>
    </w:p>
    <w:p>
      <w:pPr>
        <w:pStyle w:val="0"/>
        <w:jc w:val="both"/>
      </w:pPr>
      <w:r>
        <w:rPr>
          <w:sz w:val="20"/>
        </w:rPr>
      </w:r>
    </w:p>
    <w:p>
      <w:pPr>
        <w:pStyle w:val="0"/>
        <w:jc w:val="right"/>
      </w:pPr>
      <w:r>
        <w:rPr>
          <w:sz w:val="20"/>
        </w:rPr>
        <w:t xml:space="preserve">Губернатор области</w:t>
      </w:r>
    </w:p>
    <w:p>
      <w:pPr>
        <w:pStyle w:val="0"/>
        <w:jc w:val="right"/>
      </w:pPr>
      <w:r>
        <w:rPr>
          <w:sz w:val="20"/>
        </w:rPr>
        <w:t xml:space="preserve">А.Б.ЛЕВИНТАЛЬ</w:t>
      </w:r>
    </w:p>
    <w:p>
      <w:pPr>
        <w:pStyle w:val="0"/>
      </w:pPr>
      <w:r>
        <w:rPr>
          <w:sz w:val="20"/>
        </w:rPr>
        <w:t xml:space="preserve">г. Биробиджан</w:t>
      </w:r>
    </w:p>
    <w:p>
      <w:pPr>
        <w:pStyle w:val="0"/>
        <w:spacing w:before="200" w:lineRule="auto"/>
      </w:pPr>
      <w:r>
        <w:rPr>
          <w:sz w:val="20"/>
        </w:rPr>
        <w:t xml:space="preserve">25 апреля 2018 года</w:t>
      </w:r>
    </w:p>
    <w:p>
      <w:pPr>
        <w:pStyle w:val="0"/>
        <w:spacing w:before="200" w:lineRule="auto"/>
      </w:pPr>
      <w:r>
        <w:rPr>
          <w:sz w:val="20"/>
        </w:rPr>
        <w:t xml:space="preserve">N 253-ОЗ</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right"/>
      </w:pPr>
      <w:r>
        <w:rPr>
          <w:sz w:val="20"/>
        </w:rPr>
        <w:t xml:space="preserve">к закону Еврейской автономной области</w:t>
      </w:r>
    </w:p>
    <w:p>
      <w:pPr>
        <w:pStyle w:val="0"/>
        <w:jc w:val="right"/>
      </w:pPr>
      <w:r>
        <w:rPr>
          <w:sz w:val="20"/>
        </w:rPr>
        <w:t xml:space="preserve">"Об Общественной палате Еврейской</w:t>
      </w:r>
    </w:p>
    <w:p>
      <w:pPr>
        <w:pStyle w:val="0"/>
        <w:jc w:val="right"/>
      </w:pPr>
      <w:r>
        <w:rPr>
          <w:sz w:val="20"/>
        </w:rPr>
        <w:t xml:space="preserve">автономной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6" w:tooltip="Закон ЕАО от 24.06.2021 N 756-ОЗ &quot;О внесении изменений в некоторые законы Еврейской автономной области&quot; (принят ЗС ЕАО от 24.06.2021) {КонсультантПлюс}">
              <w:r>
                <w:rPr>
                  <w:sz w:val="20"/>
                  <w:color w:val="0000ff"/>
                </w:rPr>
                <w:t xml:space="preserve">закона</w:t>
              </w:r>
            </w:hyperlink>
            <w:r>
              <w:rPr>
                <w:sz w:val="20"/>
                <w:color w:val="392c69"/>
              </w:rPr>
              <w:t xml:space="preserve"> ЕАО от 24.06.2021 N 756-ОЗ)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05" w:name="P205"/>
    <w:bookmarkEnd w:id="205"/>
    <w:p>
      <w:pPr>
        <w:pStyle w:val="1"/>
        <w:jc w:val="both"/>
      </w:pPr>
      <w:r>
        <w:rPr>
          <w:sz w:val="20"/>
        </w:rPr>
        <w:t xml:space="preserve">                                  АНКЕТА                     ┌────────────┐</w:t>
      </w:r>
    </w:p>
    <w:p>
      <w:pPr>
        <w:pStyle w:val="1"/>
        <w:jc w:val="both"/>
      </w:pPr>
      <w:r>
        <w:rPr>
          <w:sz w:val="20"/>
        </w:rPr>
        <w:t xml:space="preserve">                       (заполняется собственноручно)         │            │</w:t>
      </w:r>
    </w:p>
    <w:p>
      <w:pPr>
        <w:pStyle w:val="1"/>
        <w:jc w:val="both"/>
      </w:pPr>
      <w:r>
        <w:rPr>
          <w:sz w:val="20"/>
        </w:rPr>
        <w:t xml:space="preserve">                                                             │  Место для │</w:t>
      </w:r>
    </w:p>
    <w:p>
      <w:pPr>
        <w:pStyle w:val="1"/>
        <w:jc w:val="both"/>
      </w:pPr>
      <w:r>
        <w:rPr>
          <w:sz w:val="20"/>
        </w:rPr>
        <w:t xml:space="preserve">1. Фамилия ______________________________________________    │ фотографии │</w:t>
      </w:r>
    </w:p>
    <w:p>
      <w:pPr>
        <w:pStyle w:val="1"/>
        <w:jc w:val="both"/>
      </w:pPr>
      <w:r>
        <w:rPr>
          <w:sz w:val="20"/>
        </w:rPr>
        <w:t xml:space="preserve">   Имя __________________________________________________    │    3 x 4   │</w:t>
      </w:r>
    </w:p>
    <w:p>
      <w:pPr>
        <w:pStyle w:val="1"/>
        <w:jc w:val="both"/>
      </w:pPr>
      <w:r>
        <w:rPr>
          <w:sz w:val="20"/>
        </w:rPr>
        <w:t xml:space="preserve">   Отчество _____________________________________________    │            │</w:t>
      </w:r>
    </w:p>
    <w:p>
      <w:pPr>
        <w:pStyle w:val="1"/>
        <w:jc w:val="both"/>
      </w:pPr>
      <w:r>
        <w:rPr>
          <w:sz w:val="20"/>
        </w:rPr>
        <w:t xml:space="preserve">                                                             └────────────┘</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6"/>
        <w:gridCol w:w="2835"/>
      </w:tblGrid>
      <w:tr>
        <w:tc>
          <w:tcPr>
            <w:tcW w:w="6236" w:type="dxa"/>
          </w:tcPr>
          <w:p>
            <w:pPr>
              <w:pStyle w:val="0"/>
            </w:pPr>
            <w:r>
              <w:rPr>
                <w:sz w:val="20"/>
              </w:rPr>
              <w:t xml:space="preserve">2. Если ранее имели другие фамилию, имя или отчество, то укажите их, а также когда, где и по какой причине их меняли</w:t>
            </w:r>
          </w:p>
        </w:tc>
        <w:tc>
          <w:tcPr>
            <w:tcW w:w="2835" w:type="dxa"/>
          </w:tcPr>
          <w:p>
            <w:pPr>
              <w:pStyle w:val="0"/>
            </w:pPr>
            <w:r>
              <w:rPr>
                <w:sz w:val="20"/>
              </w:rPr>
            </w:r>
          </w:p>
        </w:tc>
      </w:tr>
      <w:tr>
        <w:tc>
          <w:tcPr>
            <w:tcW w:w="6236" w:type="dxa"/>
          </w:tcPr>
          <w:p>
            <w:pPr>
              <w:pStyle w:val="0"/>
            </w:pPr>
            <w:r>
              <w:rPr>
                <w:sz w:val="20"/>
              </w:rPr>
              <w:t xml:space="preserve">3. Число, месяц, год и место рождения (село, деревня, город, район, область, край, республика, страна)</w:t>
            </w:r>
          </w:p>
        </w:tc>
        <w:tc>
          <w:tcPr>
            <w:tcW w:w="2835" w:type="dxa"/>
          </w:tcPr>
          <w:p>
            <w:pPr>
              <w:pStyle w:val="0"/>
            </w:pPr>
            <w:r>
              <w:rPr>
                <w:sz w:val="20"/>
              </w:rPr>
            </w:r>
          </w:p>
        </w:tc>
      </w:tr>
      <w:tr>
        <w:tc>
          <w:tcPr>
            <w:tcW w:w="6236" w:type="dxa"/>
          </w:tcPr>
          <w:p>
            <w:pPr>
              <w:pStyle w:val="0"/>
            </w:pPr>
            <w:r>
              <w:rPr>
                <w:sz w:val="20"/>
              </w:rPr>
              <w:t xml:space="preserve">4. Гражданство (если изменяли, то укажите, когда и по какой причине, если имеете гражданство другого государства, - укажите)</w:t>
            </w:r>
          </w:p>
        </w:tc>
        <w:tc>
          <w:tcPr>
            <w:tcW w:w="2835" w:type="dxa"/>
          </w:tcPr>
          <w:p>
            <w:pPr>
              <w:pStyle w:val="0"/>
            </w:pPr>
            <w:r>
              <w:rPr>
                <w:sz w:val="20"/>
              </w:rPr>
            </w:r>
          </w:p>
        </w:tc>
      </w:tr>
      <w:tr>
        <w:tc>
          <w:tcPr>
            <w:tcW w:w="6236" w:type="dxa"/>
          </w:tcPr>
          <w:p>
            <w:pPr>
              <w:pStyle w:val="0"/>
            </w:pPr>
            <w:r>
              <w:rPr>
                <w:sz w:val="20"/>
              </w:rPr>
              <w:t xml:space="preserve">5. Образование (когда и какие учебные заведения окончили, номера дипломов). Направление подготовки или специальность по диплому.</w:t>
            </w:r>
          </w:p>
          <w:p>
            <w:pPr>
              <w:pStyle w:val="0"/>
            </w:pPr>
            <w:r>
              <w:rPr>
                <w:sz w:val="20"/>
              </w:rPr>
              <w:t xml:space="preserve">Квалификация по диплому</w:t>
            </w:r>
          </w:p>
        </w:tc>
        <w:tc>
          <w:tcPr>
            <w:tcW w:w="2835" w:type="dxa"/>
          </w:tcPr>
          <w:p>
            <w:pPr>
              <w:pStyle w:val="0"/>
            </w:pPr>
            <w:r>
              <w:rPr>
                <w:sz w:val="20"/>
              </w:rPr>
            </w:r>
          </w:p>
        </w:tc>
      </w:tr>
      <w:tr>
        <w:tc>
          <w:tcPr>
            <w:tcW w:w="6236" w:type="dxa"/>
          </w:tcPr>
          <w:p>
            <w:pPr>
              <w:pStyle w:val="0"/>
            </w:pPr>
            <w:r>
              <w:rPr>
                <w:sz w:val="20"/>
              </w:rPr>
              <w:t xml:space="preserve">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tc>
        <w:tc>
          <w:tcPr>
            <w:tcW w:w="2835" w:type="dxa"/>
          </w:tcPr>
          <w:p>
            <w:pPr>
              <w:pStyle w:val="0"/>
            </w:pPr>
            <w:r>
              <w:rPr>
                <w:sz w:val="20"/>
              </w:rPr>
            </w:r>
          </w:p>
        </w:tc>
      </w:tr>
      <w:tr>
        <w:tc>
          <w:tcPr>
            <w:tcW w:w="6236" w:type="dxa"/>
          </w:tcPr>
          <w:p>
            <w:pPr>
              <w:pStyle w:val="0"/>
            </w:pPr>
            <w:r>
              <w:rPr>
                <w:sz w:val="20"/>
              </w:rPr>
              <w:t xml:space="preserve">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2835" w:type="dxa"/>
          </w:tcPr>
          <w:p>
            <w:pPr>
              <w:pStyle w:val="0"/>
            </w:pPr>
            <w:r>
              <w:rPr>
                <w:sz w:val="20"/>
              </w:rPr>
            </w:r>
          </w:p>
        </w:tc>
      </w:tr>
      <w:tr>
        <w:tc>
          <w:tcPr>
            <w:tcW w:w="6236" w:type="dxa"/>
          </w:tcPr>
          <w:p>
            <w:pPr>
              <w:pStyle w:val="0"/>
            </w:pPr>
            <w:r>
              <w:rPr>
                <w:sz w:val="20"/>
              </w:rPr>
              <w:t xml:space="preserve">8. Были ли Вы судимы, когда и за что</w:t>
            </w:r>
          </w:p>
        </w:tc>
        <w:tc>
          <w:tcPr>
            <w:tcW w:w="2835" w:type="dxa"/>
          </w:tcPr>
          <w:p>
            <w:pPr>
              <w:pStyle w:val="0"/>
            </w:pPr>
            <w:r>
              <w:rPr>
                <w:sz w:val="20"/>
              </w:rPr>
            </w:r>
          </w:p>
        </w:tc>
      </w:tr>
    </w:tbl>
    <w:p>
      <w:pPr>
        <w:pStyle w:val="0"/>
        <w:jc w:val="both"/>
      </w:pPr>
      <w:r>
        <w:rPr>
          <w:sz w:val="20"/>
        </w:rPr>
      </w:r>
    </w:p>
    <w:p>
      <w:pPr>
        <w:pStyle w:val="1"/>
        <w:jc w:val="both"/>
      </w:pPr>
      <w:r>
        <w:rPr>
          <w:sz w:val="20"/>
        </w:rPr>
        <w:t xml:space="preserve">    9.  Выполняемая  работа с начала трудовой деятельности (включая учебу в</w:t>
      </w:r>
    </w:p>
    <w:p>
      <w:pPr>
        <w:pStyle w:val="1"/>
        <w:jc w:val="both"/>
      </w:pPr>
      <w:r>
        <w:rPr>
          <w:sz w:val="20"/>
        </w:rPr>
        <w:t xml:space="preserve">высших  и средних специальных учебных заведениях, военную службу, работу по</w:t>
      </w:r>
    </w:p>
    <w:p>
      <w:pPr>
        <w:pStyle w:val="1"/>
        <w:jc w:val="both"/>
      </w:pPr>
      <w:r>
        <w:rPr>
          <w:sz w:val="20"/>
        </w:rPr>
        <w:t xml:space="preserve">совместительству, предпринимательскую деятельность и т.п.).</w:t>
      </w:r>
    </w:p>
    <w:p>
      <w:pPr>
        <w:pStyle w:val="1"/>
        <w:jc w:val="both"/>
      </w:pPr>
      <w:r>
        <w:rPr>
          <w:sz w:val="20"/>
        </w:rPr>
        <w:t xml:space="preserve">    При заполнении данного пункта необходимо именовать организации так, как</w:t>
      </w:r>
    </w:p>
    <w:p>
      <w:pPr>
        <w:pStyle w:val="1"/>
        <w:jc w:val="both"/>
      </w:pPr>
      <w:r>
        <w:rPr>
          <w:sz w:val="20"/>
        </w:rPr>
        <w:t xml:space="preserve">они  назывались  в  свое  время,  военную  службу  записывать  с  указанием</w:t>
      </w:r>
    </w:p>
    <w:p>
      <w:pPr>
        <w:pStyle w:val="1"/>
        <w:jc w:val="both"/>
      </w:pPr>
      <w:r>
        <w:rPr>
          <w:sz w:val="20"/>
        </w:rPr>
        <w:t xml:space="preserve">должности и номера воинской части.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60"/>
        <w:gridCol w:w="1560"/>
        <w:gridCol w:w="3402"/>
        <w:gridCol w:w="2494"/>
      </w:tblGrid>
      <w:tr>
        <w:tc>
          <w:tcPr>
            <w:gridSpan w:val="2"/>
            <w:tcW w:w="3120" w:type="dxa"/>
          </w:tcPr>
          <w:p>
            <w:pPr>
              <w:pStyle w:val="0"/>
              <w:jc w:val="center"/>
            </w:pPr>
            <w:r>
              <w:rPr>
                <w:sz w:val="20"/>
              </w:rPr>
              <w:t xml:space="preserve">Месяц и год</w:t>
            </w:r>
          </w:p>
        </w:tc>
        <w:tc>
          <w:tcPr>
            <w:tcW w:w="3402" w:type="dxa"/>
            <w:vMerge w:val="restart"/>
          </w:tcPr>
          <w:p>
            <w:pPr>
              <w:pStyle w:val="0"/>
              <w:jc w:val="center"/>
            </w:pPr>
            <w:r>
              <w:rPr>
                <w:sz w:val="20"/>
              </w:rPr>
              <w:t xml:space="preserve">Должность с указанием организации</w:t>
            </w:r>
          </w:p>
        </w:tc>
        <w:tc>
          <w:tcPr>
            <w:tcW w:w="2494" w:type="dxa"/>
            <w:vMerge w:val="restart"/>
          </w:tcPr>
          <w:p>
            <w:pPr>
              <w:pStyle w:val="0"/>
              <w:jc w:val="center"/>
            </w:pPr>
            <w:r>
              <w:rPr>
                <w:sz w:val="20"/>
              </w:rPr>
              <w:t xml:space="preserve">Адрес организации</w:t>
            </w:r>
          </w:p>
        </w:tc>
      </w:tr>
      <w:tr>
        <w:tc>
          <w:tcPr>
            <w:tcW w:w="1560" w:type="dxa"/>
          </w:tcPr>
          <w:p>
            <w:pPr>
              <w:pStyle w:val="0"/>
              <w:jc w:val="center"/>
            </w:pPr>
            <w:r>
              <w:rPr>
                <w:sz w:val="20"/>
              </w:rPr>
              <w:t xml:space="preserve">поступления</w:t>
            </w:r>
          </w:p>
        </w:tc>
        <w:tc>
          <w:tcPr>
            <w:tcW w:w="1560" w:type="dxa"/>
          </w:tcPr>
          <w:p>
            <w:pPr>
              <w:pStyle w:val="0"/>
              <w:jc w:val="center"/>
            </w:pPr>
            <w:r>
              <w:rPr>
                <w:sz w:val="20"/>
              </w:rPr>
              <w:t xml:space="preserve">ухода</w:t>
            </w:r>
          </w:p>
        </w:tc>
        <w:tc>
          <w:tcPr>
            <w:vMerge w:val="continue"/>
          </w:tcPr>
          <w:p/>
        </w:tc>
        <w:tc>
          <w:tcPr>
            <w:vMerge w:val="continue"/>
          </w:tcPr>
          <w:p/>
        </w:tc>
      </w:tr>
      <w:tr>
        <w:tc>
          <w:tcPr>
            <w:tcW w:w="1560" w:type="dxa"/>
          </w:tcPr>
          <w:p>
            <w:pPr>
              <w:pStyle w:val="0"/>
            </w:pPr>
            <w:r>
              <w:rPr>
                <w:sz w:val="20"/>
              </w:rPr>
            </w:r>
          </w:p>
        </w:tc>
        <w:tc>
          <w:tcPr>
            <w:tcW w:w="1560" w:type="dxa"/>
          </w:tcPr>
          <w:p>
            <w:pPr>
              <w:pStyle w:val="0"/>
            </w:pPr>
            <w:r>
              <w:rPr>
                <w:sz w:val="20"/>
              </w:rPr>
            </w:r>
          </w:p>
        </w:tc>
        <w:tc>
          <w:tcPr>
            <w:tcW w:w="3402" w:type="dxa"/>
          </w:tcPr>
          <w:p>
            <w:pPr>
              <w:pStyle w:val="0"/>
            </w:pPr>
            <w:r>
              <w:rPr>
                <w:sz w:val="20"/>
              </w:rPr>
            </w:r>
          </w:p>
        </w:tc>
        <w:tc>
          <w:tcPr>
            <w:tcW w:w="2494" w:type="dxa"/>
          </w:tcPr>
          <w:p>
            <w:pPr>
              <w:pStyle w:val="0"/>
            </w:pPr>
            <w:r>
              <w:rPr>
                <w:sz w:val="20"/>
              </w:rPr>
            </w:r>
          </w:p>
        </w:tc>
      </w:tr>
      <w:tr>
        <w:tc>
          <w:tcPr>
            <w:tcW w:w="1560" w:type="dxa"/>
          </w:tcPr>
          <w:p>
            <w:pPr>
              <w:pStyle w:val="0"/>
            </w:pPr>
            <w:r>
              <w:rPr>
                <w:sz w:val="20"/>
              </w:rPr>
            </w:r>
          </w:p>
        </w:tc>
        <w:tc>
          <w:tcPr>
            <w:tcW w:w="1560" w:type="dxa"/>
          </w:tcPr>
          <w:p>
            <w:pPr>
              <w:pStyle w:val="0"/>
            </w:pPr>
            <w:r>
              <w:rPr>
                <w:sz w:val="20"/>
              </w:rPr>
            </w:r>
          </w:p>
        </w:tc>
        <w:tc>
          <w:tcPr>
            <w:tcW w:w="3402" w:type="dxa"/>
          </w:tcPr>
          <w:p>
            <w:pPr>
              <w:pStyle w:val="0"/>
            </w:pPr>
            <w:r>
              <w:rPr>
                <w:sz w:val="20"/>
              </w:rPr>
            </w:r>
          </w:p>
        </w:tc>
        <w:tc>
          <w:tcPr>
            <w:tcW w:w="2494" w:type="dxa"/>
          </w:tcPr>
          <w:p>
            <w:pPr>
              <w:pStyle w:val="0"/>
            </w:pPr>
            <w:r>
              <w:rPr>
                <w:sz w:val="20"/>
              </w:rPr>
            </w:r>
          </w:p>
        </w:tc>
      </w:tr>
      <w:tr>
        <w:tc>
          <w:tcPr>
            <w:tcW w:w="1560" w:type="dxa"/>
          </w:tcPr>
          <w:p>
            <w:pPr>
              <w:pStyle w:val="0"/>
            </w:pPr>
            <w:r>
              <w:rPr>
                <w:sz w:val="20"/>
              </w:rPr>
            </w:r>
          </w:p>
        </w:tc>
        <w:tc>
          <w:tcPr>
            <w:tcW w:w="1560" w:type="dxa"/>
          </w:tcPr>
          <w:p>
            <w:pPr>
              <w:pStyle w:val="0"/>
            </w:pPr>
            <w:r>
              <w:rPr>
                <w:sz w:val="20"/>
              </w:rPr>
            </w:r>
          </w:p>
        </w:tc>
        <w:tc>
          <w:tcPr>
            <w:tcW w:w="3402" w:type="dxa"/>
          </w:tcPr>
          <w:p>
            <w:pPr>
              <w:pStyle w:val="0"/>
            </w:pPr>
            <w:r>
              <w:rPr>
                <w:sz w:val="20"/>
              </w:rPr>
            </w:r>
          </w:p>
        </w:tc>
        <w:tc>
          <w:tcPr>
            <w:tcW w:w="2494" w:type="dxa"/>
          </w:tcPr>
          <w:p>
            <w:pPr>
              <w:pStyle w:val="0"/>
            </w:pPr>
            <w:r>
              <w:rPr>
                <w:sz w:val="20"/>
              </w:rPr>
            </w:r>
          </w:p>
        </w:tc>
      </w:tr>
      <w:tr>
        <w:tc>
          <w:tcPr>
            <w:tcW w:w="1560" w:type="dxa"/>
          </w:tcPr>
          <w:p>
            <w:pPr>
              <w:pStyle w:val="0"/>
            </w:pPr>
            <w:r>
              <w:rPr>
                <w:sz w:val="20"/>
              </w:rPr>
            </w:r>
          </w:p>
        </w:tc>
        <w:tc>
          <w:tcPr>
            <w:tcW w:w="1560" w:type="dxa"/>
          </w:tcPr>
          <w:p>
            <w:pPr>
              <w:pStyle w:val="0"/>
            </w:pPr>
            <w:r>
              <w:rPr>
                <w:sz w:val="20"/>
              </w:rPr>
            </w:r>
          </w:p>
        </w:tc>
        <w:tc>
          <w:tcPr>
            <w:tcW w:w="3402" w:type="dxa"/>
          </w:tcPr>
          <w:p>
            <w:pPr>
              <w:pStyle w:val="0"/>
            </w:pPr>
            <w:r>
              <w:rPr>
                <w:sz w:val="20"/>
              </w:rPr>
            </w:r>
          </w:p>
        </w:tc>
        <w:tc>
          <w:tcPr>
            <w:tcW w:w="2494" w:type="dxa"/>
          </w:tcPr>
          <w:p>
            <w:pPr>
              <w:pStyle w:val="0"/>
            </w:pPr>
            <w:r>
              <w:rPr>
                <w:sz w:val="20"/>
              </w:rPr>
            </w:r>
          </w:p>
        </w:tc>
      </w:tr>
      <w:tr>
        <w:tc>
          <w:tcPr>
            <w:tcW w:w="1560" w:type="dxa"/>
          </w:tcPr>
          <w:p>
            <w:pPr>
              <w:pStyle w:val="0"/>
            </w:pPr>
            <w:r>
              <w:rPr>
                <w:sz w:val="20"/>
              </w:rPr>
            </w:r>
          </w:p>
        </w:tc>
        <w:tc>
          <w:tcPr>
            <w:tcW w:w="1560" w:type="dxa"/>
          </w:tcPr>
          <w:p>
            <w:pPr>
              <w:pStyle w:val="0"/>
            </w:pPr>
            <w:r>
              <w:rPr>
                <w:sz w:val="20"/>
              </w:rPr>
            </w:r>
          </w:p>
        </w:tc>
        <w:tc>
          <w:tcPr>
            <w:tcW w:w="3402" w:type="dxa"/>
          </w:tcPr>
          <w:p>
            <w:pPr>
              <w:pStyle w:val="0"/>
            </w:pPr>
            <w:r>
              <w:rPr>
                <w:sz w:val="20"/>
              </w:rPr>
            </w:r>
          </w:p>
        </w:tc>
        <w:tc>
          <w:tcPr>
            <w:tcW w:w="2494" w:type="dxa"/>
          </w:tcPr>
          <w:p>
            <w:pPr>
              <w:pStyle w:val="0"/>
            </w:pPr>
            <w:r>
              <w:rPr>
                <w:sz w:val="20"/>
              </w:rPr>
            </w:r>
          </w:p>
        </w:tc>
      </w:tr>
      <w:tr>
        <w:tc>
          <w:tcPr>
            <w:tcW w:w="1560" w:type="dxa"/>
          </w:tcPr>
          <w:p>
            <w:pPr>
              <w:pStyle w:val="0"/>
            </w:pPr>
            <w:r>
              <w:rPr>
                <w:sz w:val="20"/>
              </w:rPr>
            </w:r>
          </w:p>
        </w:tc>
        <w:tc>
          <w:tcPr>
            <w:tcW w:w="1560" w:type="dxa"/>
          </w:tcPr>
          <w:p>
            <w:pPr>
              <w:pStyle w:val="0"/>
            </w:pPr>
            <w:r>
              <w:rPr>
                <w:sz w:val="20"/>
              </w:rPr>
            </w:r>
          </w:p>
        </w:tc>
        <w:tc>
          <w:tcPr>
            <w:tcW w:w="3402" w:type="dxa"/>
          </w:tcPr>
          <w:p>
            <w:pPr>
              <w:pStyle w:val="0"/>
            </w:pPr>
            <w:r>
              <w:rPr>
                <w:sz w:val="20"/>
              </w:rPr>
            </w:r>
          </w:p>
        </w:tc>
        <w:tc>
          <w:tcPr>
            <w:tcW w:w="2494" w:type="dxa"/>
          </w:tcPr>
          <w:p>
            <w:pPr>
              <w:pStyle w:val="0"/>
            </w:pPr>
            <w:r>
              <w:rPr>
                <w:sz w:val="20"/>
              </w:rPr>
            </w:r>
          </w:p>
        </w:tc>
      </w:tr>
      <w:tr>
        <w:tc>
          <w:tcPr>
            <w:tcW w:w="1560" w:type="dxa"/>
          </w:tcPr>
          <w:p>
            <w:pPr>
              <w:pStyle w:val="0"/>
            </w:pPr>
            <w:r>
              <w:rPr>
                <w:sz w:val="20"/>
              </w:rPr>
            </w:r>
          </w:p>
        </w:tc>
        <w:tc>
          <w:tcPr>
            <w:tcW w:w="1560" w:type="dxa"/>
          </w:tcPr>
          <w:p>
            <w:pPr>
              <w:pStyle w:val="0"/>
            </w:pPr>
            <w:r>
              <w:rPr>
                <w:sz w:val="20"/>
              </w:rPr>
            </w:r>
          </w:p>
        </w:tc>
        <w:tc>
          <w:tcPr>
            <w:tcW w:w="3402" w:type="dxa"/>
          </w:tcPr>
          <w:p>
            <w:pPr>
              <w:pStyle w:val="0"/>
            </w:pPr>
            <w:r>
              <w:rPr>
                <w:sz w:val="20"/>
              </w:rPr>
            </w:r>
          </w:p>
        </w:tc>
        <w:tc>
          <w:tcPr>
            <w:tcW w:w="2494" w:type="dxa"/>
          </w:tcPr>
          <w:p>
            <w:pPr>
              <w:pStyle w:val="0"/>
            </w:pPr>
            <w:r>
              <w:rPr>
                <w:sz w:val="20"/>
              </w:rPr>
            </w:r>
          </w:p>
        </w:tc>
      </w:tr>
      <w:tr>
        <w:tc>
          <w:tcPr>
            <w:tcW w:w="1560" w:type="dxa"/>
          </w:tcPr>
          <w:p>
            <w:pPr>
              <w:pStyle w:val="0"/>
            </w:pPr>
            <w:r>
              <w:rPr>
                <w:sz w:val="20"/>
              </w:rPr>
            </w:r>
          </w:p>
        </w:tc>
        <w:tc>
          <w:tcPr>
            <w:tcW w:w="1560" w:type="dxa"/>
          </w:tcPr>
          <w:p>
            <w:pPr>
              <w:pStyle w:val="0"/>
            </w:pPr>
            <w:r>
              <w:rPr>
                <w:sz w:val="20"/>
              </w:rPr>
            </w:r>
          </w:p>
        </w:tc>
        <w:tc>
          <w:tcPr>
            <w:tcW w:w="3402" w:type="dxa"/>
          </w:tcPr>
          <w:p>
            <w:pPr>
              <w:pStyle w:val="0"/>
            </w:pPr>
            <w:r>
              <w:rPr>
                <w:sz w:val="20"/>
              </w:rPr>
            </w:r>
          </w:p>
        </w:tc>
        <w:tc>
          <w:tcPr>
            <w:tcW w:w="2494" w:type="dxa"/>
          </w:tcPr>
          <w:p>
            <w:pPr>
              <w:pStyle w:val="0"/>
            </w:pPr>
            <w:r>
              <w:rPr>
                <w:sz w:val="20"/>
              </w:rPr>
            </w:r>
          </w:p>
        </w:tc>
      </w:tr>
      <w:tr>
        <w:tc>
          <w:tcPr>
            <w:tcW w:w="1560" w:type="dxa"/>
          </w:tcPr>
          <w:p>
            <w:pPr>
              <w:pStyle w:val="0"/>
            </w:pPr>
            <w:r>
              <w:rPr>
                <w:sz w:val="20"/>
              </w:rPr>
            </w:r>
          </w:p>
        </w:tc>
        <w:tc>
          <w:tcPr>
            <w:tcW w:w="1560" w:type="dxa"/>
          </w:tcPr>
          <w:p>
            <w:pPr>
              <w:pStyle w:val="0"/>
            </w:pPr>
            <w:r>
              <w:rPr>
                <w:sz w:val="20"/>
              </w:rPr>
            </w:r>
          </w:p>
        </w:tc>
        <w:tc>
          <w:tcPr>
            <w:tcW w:w="3402" w:type="dxa"/>
          </w:tcPr>
          <w:p>
            <w:pPr>
              <w:pStyle w:val="0"/>
            </w:pPr>
            <w:r>
              <w:rPr>
                <w:sz w:val="20"/>
              </w:rPr>
            </w:r>
          </w:p>
        </w:tc>
        <w:tc>
          <w:tcPr>
            <w:tcW w:w="2494" w:type="dxa"/>
          </w:tcPr>
          <w:p>
            <w:pPr>
              <w:pStyle w:val="0"/>
            </w:pPr>
            <w:r>
              <w:rPr>
                <w:sz w:val="20"/>
              </w:rPr>
            </w:r>
          </w:p>
        </w:tc>
      </w:tr>
      <w:tr>
        <w:tc>
          <w:tcPr>
            <w:tcW w:w="1560" w:type="dxa"/>
          </w:tcPr>
          <w:p>
            <w:pPr>
              <w:pStyle w:val="0"/>
            </w:pPr>
            <w:r>
              <w:rPr>
                <w:sz w:val="20"/>
              </w:rPr>
            </w:r>
          </w:p>
        </w:tc>
        <w:tc>
          <w:tcPr>
            <w:tcW w:w="1560" w:type="dxa"/>
          </w:tcPr>
          <w:p>
            <w:pPr>
              <w:pStyle w:val="0"/>
            </w:pPr>
            <w:r>
              <w:rPr>
                <w:sz w:val="20"/>
              </w:rPr>
            </w:r>
          </w:p>
        </w:tc>
        <w:tc>
          <w:tcPr>
            <w:tcW w:w="3402" w:type="dxa"/>
          </w:tcPr>
          <w:p>
            <w:pPr>
              <w:pStyle w:val="0"/>
            </w:pPr>
            <w:r>
              <w:rPr>
                <w:sz w:val="20"/>
              </w:rPr>
            </w:r>
          </w:p>
        </w:tc>
        <w:tc>
          <w:tcPr>
            <w:tcW w:w="2494" w:type="dxa"/>
          </w:tcPr>
          <w:p>
            <w:pPr>
              <w:pStyle w:val="0"/>
            </w:pPr>
            <w:r>
              <w:rPr>
                <w:sz w:val="20"/>
              </w:rPr>
            </w:r>
          </w:p>
        </w:tc>
      </w:tr>
      <w:tr>
        <w:tc>
          <w:tcPr>
            <w:tcW w:w="1560" w:type="dxa"/>
          </w:tcPr>
          <w:p>
            <w:pPr>
              <w:pStyle w:val="0"/>
            </w:pPr>
            <w:r>
              <w:rPr>
                <w:sz w:val="20"/>
              </w:rPr>
            </w:r>
          </w:p>
        </w:tc>
        <w:tc>
          <w:tcPr>
            <w:tcW w:w="1560" w:type="dxa"/>
          </w:tcPr>
          <w:p>
            <w:pPr>
              <w:pStyle w:val="0"/>
            </w:pPr>
            <w:r>
              <w:rPr>
                <w:sz w:val="20"/>
              </w:rPr>
            </w:r>
          </w:p>
        </w:tc>
        <w:tc>
          <w:tcPr>
            <w:tcW w:w="3402" w:type="dxa"/>
          </w:tcPr>
          <w:p>
            <w:pPr>
              <w:pStyle w:val="0"/>
            </w:pPr>
            <w:r>
              <w:rPr>
                <w:sz w:val="20"/>
              </w:rPr>
            </w:r>
          </w:p>
        </w:tc>
        <w:tc>
          <w:tcPr>
            <w:tcW w:w="2494" w:type="dxa"/>
          </w:tcPr>
          <w:p>
            <w:pPr>
              <w:pStyle w:val="0"/>
            </w:pPr>
            <w:r>
              <w:rPr>
                <w:sz w:val="20"/>
              </w:rPr>
            </w:r>
          </w:p>
        </w:tc>
      </w:tr>
    </w:tbl>
    <w:p>
      <w:pPr>
        <w:pStyle w:val="0"/>
        <w:jc w:val="both"/>
      </w:pPr>
      <w:r>
        <w:rPr>
          <w:sz w:val="20"/>
        </w:rPr>
      </w:r>
    </w:p>
    <w:p>
      <w:pPr>
        <w:pStyle w:val="1"/>
        <w:jc w:val="both"/>
      </w:pPr>
      <w:r>
        <w:rPr>
          <w:sz w:val="20"/>
        </w:rPr>
        <w:t xml:space="preserve">10. Государственные награды, иные награды и знаки отличия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11. Опыт работы в общественной сфере, перечень занимаемых выборных</w:t>
      </w:r>
    </w:p>
    <w:p>
      <w:pPr>
        <w:pStyle w:val="1"/>
        <w:jc w:val="both"/>
      </w:pPr>
      <w:r>
        <w:rPr>
          <w:sz w:val="20"/>
        </w:rPr>
        <w:t xml:space="preserve">должностей 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12. Домашний адрес (адрес регистрации, фактического проживания), номер</w:t>
      </w:r>
    </w:p>
    <w:p>
      <w:pPr>
        <w:pStyle w:val="1"/>
        <w:jc w:val="both"/>
      </w:pPr>
      <w:r>
        <w:rPr>
          <w:sz w:val="20"/>
        </w:rPr>
        <w:t xml:space="preserve">телефона (либо иной вид связи)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13. Паспорт или документ, его заменяющий __________________________________</w:t>
      </w:r>
    </w:p>
    <w:p>
      <w:pPr>
        <w:pStyle w:val="1"/>
        <w:jc w:val="both"/>
      </w:pPr>
      <w:r>
        <w:rPr>
          <w:sz w:val="20"/>
        </w:rPr>
        <w:t xml:space="preserve">                     (серия, номер, кем и когда выдан)</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14. Дополнительные сведения (участие в выборных представительных органах,</w:t>
      </w:r>
    </w:p>
    <w:p>
      <w:pPr>
        <w:pStyle w:val="1"/>
        <w:jc w:val="both"/>
      </w:pPr>
      <w:r>
        <w:rPr>
          <w:sz w:val="20"/>
        </w:rPr>
        <w:t xml:space="preserve">другая информация, которую желаете сообщить о себе) 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 20__ г.          Подпись _____________</w:t>
      </w:r>
    </w:p>
    <w:p>
      <w:pPr>
        <w:pStyle w:val="1"/>
        <w:jc w:val="both"/>
      </w:pPr>
      <w:r>
        <w:rPr>
          <w:sz w:val="20"/>
        </w:rPr>
      </w:r>
    </w:p>
    <w:p>
      <w:pPr>
        <w:pStyle w:val="1"/>
        <w:jc w:val="both"/>
      </w:pPr>
      <w:r>
        <w:rPr>
          <w:sz w:val="20"/>
        </w:rPr>
        <w:t xml:space="preserve">                                Фотография и данные о трудовой деятельности</w:t>
      </w:r>
    </w:p>
    <w:p>
      <w:pPr>
        <w:pStyle w:val="1"/>
        <w:jc w:val="both"/>
      </w:pPr>
      <w:r>
        <w:rPr>
          <w:sz w:val="20"/>
        </w:rPr>
        <w:t xml:space="preserve">                                соответствуют   документам,  удостоверяющим</w:t>
      </w:r>
    </w:p>
    <w:p>
      <w:pPr>
        <w:pStyle w:val="1"/>
        <w:jc w:val="both"/>
      </w:pPr>
      <w:r>
        <w:rPr>
          <w:sz w:val="20"/>
        </w:rPr>
        <w:t xml:space="preserve">    М.П.                        личность,   записям   в   трудовой  книжке,</w:t>
      </w:r>
    </w:p>
    <w:p>
      <w:pPr>
        <w:pStyle w:val="1"/>
        <w:jc w:val="both"/>
      </w:pPr>
      <w:r>
        <w:rPr>
          <w:sz w:val="20"/>
        </w:rPr>
        <w:t xml:space="preserve">                                сведениям   о   трудовой      деятельности,</w:t>
      </w:r>
    </w:p>
    <w:p>
      <w:pPr>
        <w:pStyle w:val="1"/>
        <w:jc w:val="both"/>
      </w:pPr>
      <w:r>
        <w:rPr>
          <w:sz w:val="20"/>
        </w:rPr>
        <w:t xml:space="preserve">                                документам об образовании.</w:t>
      </w:r>
    </w:p>
    <w:p>
      <w:pPr>
        <w:pStyle w:val="1"/>
        <w:jc w:val="both"/>
      </w:pPr>
      <w:r>
        <w:rPr>
          <w:sz w:val="20"/>
        </w:rPr>
        <w:t xml:space="preserve">"__"_______________ 20__ г. _______________________________________________</w:t>
      </w:r>
    </w:p>
    <w:p>
      <w:pPr>
        <w:pStyle w:val="1"/>
        <w:jc w:val="both"/>
      </w:pPr>
      <w:r>
        <w:rPr>
          <w:sz w:val="20"/>
        </w:rPr>
        <w:t xml:space="preserve">                             (подпись, Ф.И.О. руководителя организации или</w:t>
      </w:r>
    </w:p>
    <w:p>
      <w:pPr>
        <w:pStyle w:val="1"/>
        <w:jc w:val="both"/>
      </w:pPr>
      <w:r>
        <w:rPr>
          <w:sz w:val="20"/>
        </w:rPr>
        <w:t xml:space="preserve">                                        уполномоченного им лица)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2</w:t>
      </w:r>
    </w:p>
    <w:p>
      <w:pPr>
        <w:pStyle w:val="0"/>
        <w:jc w:val="right"/>
      </w:pPr>
      <w:r>
        <w:rPr>
          <w:sz w:val="20"/>
        </w:rPr>
        <w:t xml:space="preserve">к закону Еврейской автономной области</w:t>
      </w:r>
    </w:p>
    <w:p>
      <w:pPr>
        <w:pStyle w:val="0"/>
        <w:jc w:val="right"/>
      </w:pPr>
      <w:r>
        <w:rPr>
          <w:sz w:val="20"/>
        </w:rPr>
        <w:t xml:space="preserve">"Об Общественной палате Еврейской</w:t>
      </w:r>
    </w:p>
    <w:p>
      <w:pPr>
        <w:pStyle w:val="0"/>
        <w:jc w:val="right"/>
      </w:pPr>
      <w:r>
        <w:rPr>
          <w:sz w:val="20"/>
        </w:rPr>
        <w:t xml:space="preserve">автономной области"</w:t>
      </w:r>
    </w:p>
    <w:p>
      <w:pPr>
        <w:pStyle w:val="0"/>
        <w:jc w:val="both"/>
      </w:pPr>
      <w:r>
        <w:rPr>
          <w:sz w:val="20"/>
        </w:rPr>
      </w:r>
    </w:p>
    <w:bookmarkStart w:id="328" w:name="P328"/>
    <w:bookmarkEnd w:id="328"/>
    <w:p>
      <w:pPr>
        <w:pStyle w:val="2"/>
        <w:jc w:val="center"/>
      </w:pPr>
      <w:r>
        <w:rPr>
          <w:sz w:val="20"/>
        </w:rPr>
        <w:t xml:space="preserve">ОПИСАНИЕ</w:t>
      </w:r>
    </w:p>
    <w:p>
      <w:pPr>
        <w:pStyle w:val="2"/>
        <w:jc w:val="center"/>
      </w:pPr>
      <w:r>
        <w:rPr>
          <w:sz w:val="20"/>
        </w:rPr>
        <w:t xml:space="preserve">ОБРАЗЦА БЛАНКА УДОСТОВЕРЕНИЯ ЧЛЕНА ОБЩЕСТВЕННОЙ ПАЛАТЫ</w:t>
      </w:r>
    </w:p>
    <w:p>
      <w:pPr>
        <w:pStyle w:val="2"/>
        <w:jc w:val="center"/>
      </w:pPr>
      <w:r>
        <w:rPr>
          <w:sz w:val="20"/>
        </w:rPr>
        <w:t xml:space="preserve">ЕВРЕЙСКОЙ АВТОНОМНОЙ ОБЛАСТИ</w:t>
      </w:r>
    </w:p>
    <w:p>
      <w:pPr>
        <w:pStyle w:val="0"/>
        <w:jc w:val="both"/>
      </w:pPr>
      <w:r>
        <w:rPr>
          <w:sz w:val="20"/>
        </w:rPr>
      </w:r>
    </w:p>
    <w:p>
      <w:pPr>
        <w:pStyle w:val="0"/>
        <w:ind w:firstLine="540"/>
        <w:jc w:val="both"/>
      </w:pPr>
      <w:r>
        <w:rPr>
          <w:sz w:val="20"/>
        </w:rPr>
        <w:t xml:space="preserve">Удостоверение члена Общественной палаты Еврейской автономной области представляет собой книжечку в твердой обложке темно-бордового цвета размером 10 x 7 см. В центре лицевой стороны обложки удостоверения размещено слово "УДОСТОВЕРЕНИЕ", выполненное тиснением бронзы.</w:t>
      </w:r>
    </w:p>
    <w:p>
      <w:pPr>
        <w:pStyle w:val="0"/>
        <w:spacing w:before="200" w:lineRule="auto"/>
        <w:ind w:firstLine="540"/>
        <w:jc w:val="both"/>
      </w:pPr>
      <w:r>
        <w:rPr>
          <w:sz w:val="20"/>
        </w:rPr>
        <w:t xml:space="preserve">Внутренние стороны удостоверения выполнены в белом цвете.</w:t>
      </w:r>
    </w:p>
    <w:p>
      <w:pPr>
        <w:pStyle w:val="0"/>
        <w:spacing w:before="200" w:lineRule="auto"/>
        <w:ind w:firstLine="540"/>
        <w:jc w:val="both"/>
      </w:pPr>
      <w:r>
        <w:rPr>
          <w:sz w:val="20"/>
        </w:rPr>
        <w:t xml:space="preserve">На левой внутренней стороне удостоверения:</w:t>
      </w:r>
    </w:p>
    <w:p>
      <w:pPr>
        <w:pStyle w:val="0"/>
        <w:spacing w:before="200" w:lineRule="auto"/>
        <w:ind w:firstLine="540"/>
        <w:jc w:val="both"/>
      </w:pPr>
      <w:r>
        <w:rPr>
          <w:sz w:val="20"/>
        </w:rPr>
        <w:t xml:space="preserve">в верхней части с ориентацией по центру в две строки располагаются слова "РОССИЙСКАЯ ФЕДЕРАЦИЯ" и "ЕВРЕЙСКАЯ АВТОНОМНАЯ ОБЛАСТЬ";</w:t>
      </w:r>
    </w:p>
    <w:p>
      <w:pPr>
        <w:pStyle w:val="0"/>
        <w:spacing w:before="200" w:lineRule="auto"/>
        <w:ind w:firstLine="540"/>
        <w:jc w:val="both"/>
      </w:pPr>
      <w:r>
        <w:rPr>
          <w:sz w:val="20"/>
        </w:rPr>
        <w:t xml:space="preserve">ниже с интервалом в 1 см в две строки впечатываются фамилия, имя и отчество владельца удостоверения;</w:t>
      </w:r>
    </w:p>
    <w:p>
      <w:pPr>
        <w:pStyle w:val="0"/>
        <w:spacing w:before="200" w:lineRule="auto"/>
        <w:ind w:firstLine="540"/>
        <w:jc w:val="both"/>
      </w:pPr>
      <w:r>
        <w:rPr>
          <w:sz w:val="20"/>
        </w:rPr>
        <w:t xml:space="preserve">под ними с интервалом 0,5 см в две строки располагаются слова "ЧЛЕН ОБЩЕСТВЕННОЙ ПАЛАТЫ ЕВРЕЙСКОЙ АВТОНОМНОЙ ОБЛАСТИ";</w:t>
      </w:r>
    </w:p>
    <w:p>
      <w:pPr>
        <w:pStyle w:val="0"/>
        <w:spacing w:before="200" w:lineRule="auto"/>
        <w:ind w:firstLine="540"/>
        <w:jc w:val="both"/>
      </w:pPr>
      <w:r>
        <w:rPr>
          <w:sz w:val="20"/>
        </w:rPr>
        <w:t xml:space="preserve">в нижней части с интервалом 0,3 см в две строки располагаются слова "Губернатор Еврейской автономной области", справа - место для подписи, инициалы и фамилия губернатора Еврейской автономной области.</w:t>
      </w:r>
    </w:p>
    <w:p>
      <w:pPr>
        <w:pStyle w:val="0"/>
        <w:spacing w:before="200" w:lineRule="auto"/>
        <w:ind w:firstLine="540"/>
        <w:jc w:val="both"/>
      </w:pPr>
      <w:r>
        <w:rPr>
          <w:sz w:val="20"/>
        </w:rPr>
        <w:t xml:space="preserve">На правой внутренней стороне удостоверения:</w:t>
      </w:r>
    </w:p>
    <w:p>
      <w:pPr>
        <w:pStyle w:val="0"/>
        <w:spacing w:before="200" w:lineRule="auto"/>
        <w:ind w:firstLine="540"/>
        <w:jc w:val="both"/>
      </w:pPr>
      <w:r>
        <w:rPr>
          <w:sz w:val="20"/>
        </w:rPr>
        <w:t xml:space="preserve">в левой верхней части располагается изображение герба Еврейской автономной области;</w:t>
      </w:r>
    </w:p>
    <w:p>
      <w:pPr>
        <w:pStyle w:val="0"/>
        <w:spacing w:before="200" w:lineRule="auto"/>
        <w:ind w:firstLine="540"/>
        <w:jc w:val="both"/>
      </w:pPr>
      <w:r>
        <w:rPr>
          <w:sz w:val="20"/>
        </w:rPr>
        <w:t xml:space="preserve">в правой верхней части имеется место для фотографии владельца удостоверения размером 3 x 4 см;</w:t>
      </w:r>
    </w:p>
    <w:p>
      <w:pPr>
        <w:pStyle w:val="0"/>
        <w:spacing w:before="200" w:lineRule="auto"/>
        <w:ind w:firstLine="540"/>
        <w:jc w:val="both"/>
      </w:pPr>
      <w:r>
        <w:rPr>
          <w:sz w:val="20"/>
        </w:rPr>
        <w:t xml:space="preserve">под местом для герба напечатаны слова "Личная подпись", слева от них - место для подписи владельца удостоверения;</w:t>
      </w:r>
    </w:p>
    <w:p>
      <w:pPr>
        <w:pStyle w:val="0"/>
        <w:spacing w:before="200" w:lineRule="auto"/>
        <w:ind w:firstLine="540"/>
        <w:jc w:val="both"/>
      </w:pPr>
      <w:r>
        <w:rPr>
          <w:sz w:val="20"/>
        </w:rPr>
        <w:t xml:space="preserve">в нижней части в три строки располагаются слова:</w:t>
      </w:r>
    </w:p>
    <w:p>
      <w:pPr>
        <w:pStyle w:val="0"/>
        <w:spacing w:before="200" w:lineRule="auto"/>
        <w:ind w:firstLine="540"/>
        <w:jc w:val="both"/>
      </w:pPr>
      <w:r>
        <w:rPr>
          <w:sz w:val="20"/>
        </w:rPr>
        <w:t xml:space="preserve">"Дата выдачи "__" ____________ 20__ г.</w:t>
      </w:r>
    </w:p>
    <w:p>
      <w:pPr>
        <w:pStyle w:val="0"/>
        <w:spacing w:before="200" w:lineRule="auto"/>
        <w:ind w:firstLine="540"/>
        <w:jc w:val="both"/>
      </w:pPr>
      <w:r>
        <w:rPr>
          <w:sz w:val="20"/>
        </w:rPr>
        <w:t xml:space="preserve">г. Биробиджан</w:t>
      </w:r>
    </w:p>
    <w:p>
      <w:pPr>
        <w:pStyle w:val="0"/>
        <w:spacing w:before="200" w:lineRule="auto"/>
        <w:ind w:firstLine="540"/>
        <w:jc w:val="both"/>
      </w:pPr>
      <w:r>
        <w:rPr>
          <w:sz w:val="20"/>
        </w:rPr>
        <w:t xml:space="preserve">Действительно по "__" _____________ 20__ г.".</w:t>
      </w:r>
    </w:p>
    <w:p>
      <w:pPr>
        <w:pStyle w:val="0"/>
        <w:spacing w:before="200" w:lineRule="auto"/>
        <w:ind w:firstLine="540"/>
        <w:jc w:val="both"/>
      </w:pPr>
      <w:r>
        <w:rPr>
          <w:sz w:val="20"/>
        </w:rPr>
        <w:t xml:space="preserve">Фотография владельца удостоверения и подпись губернатора Еврейской автономной области скрепляются печатью губернатора Еврейской автономной области.</w:t>
      </w:r>
    </w:p>
    <w:p>
      <w:pPr>
        <w:pStyle w:val="0"/>
        <w:spacing w:before="200" w:lineRule="auto"/>
        <w:ind w:firstLine="540"/>
        <w:jc w:val="both"/>
      </w:pPr>
      <w:r>
        <w:rPr>
          <w:sz w:val="20"/>
        </w:rPr>
        <w:t xml:space="preserve">Внутренние стороны удостоверения ламинированы (покрыты специальной пленкой).</w:t>
      </w:r>
    </w:p>
    <w:p>
      <w:pPr>
        <w:pStyle w:val="0"/>
        <w:jc w:val="both"/>
      </w:pPr>
      <w:r>
        <w:rPr>
          <w:sz w:val="20"/>
        </w:rPr>
      </w:r>
    </w:p>
    <w:p>
      <w:pPr>
        <w:pStyle w:val="0"/>
        <w:outlineLvl w:val="1"/>
        <w:jc w:val="center"/>
      </w:pPr>
      <w:r>
        <w:rPr>
          <w:sz w:val="20"/>
        </w:rPr>
        <w:t xml:space="preserve">Образец</w:t>
      </w:r>
    </w:p>
    <w:p>
      <w:pPr>
        <w:pStyle w:val="0"/>
        <w:jc w:val="center"/>
      </w:pPr>
      <w:r>
        <w:rPr>
          <w:sz w:val="20"/>
        </w:rPr>
        <w:t xml:space="preserve">бланка удостоверения члена Общественной палаты</w:t>
      </w:r>
    </w:p>
    <w:p>
      <w:pPr>
        <w:pStyle w:val="0"/>
        <w:jc w:val="center"/>
      </w:pPr>
      <w:r>
        <w:rPr>
          <w:sz w:val="20"/>
        </w:rPr>
        <w:t xml:space="preserve">Еврейской автономной области</w:t>
      </w:r>
    </w:p>
    <w:p>
      <w:pPr>
        <w:pStyle w:val="0"/>
        <w:jc w:val="both"/>
      </w:pPr>
      <w:r>
        <w:rPr>
          <w:sz w:val="20"/>
        </w:rPr>
      </w:r>
    </w:p>
    <w:p>
      <w:pPr>
        <w:pStyle w:val="1"/>
        <w:jc w:val="both"/>
      </w:pPr>
      <w:r>
        <w:rPr>
          <w:sz w:val="20"/>
        </w:rPr>
        <w:t xml:space="preserve">┌───────────────────────────────────────┬───────────────────────────────────────┐</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УДОСТОВЕРЕНИЕ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w:t>
      </w:r>
    </w:p>
    <w:p>
      <w:pPr>
        <w:pStyle w:val="1"/>
        <w:jc w:val="both"/>
      </w:pPr>
      <w:r>
        <w:rPr>
          <w:sz w:val="20"/>
        </w:rPr>
        <w:t xml:space="preserve">│         РОССИЙСКАЯ ФЕДЕРАЦИЯ          │ ┌──────────┐             ┌──────────┐ │</w:t>
      </w:r>
    </w:p>
    <w:p>
      <w:pPr>
        <w:pStyle w:val="1"/>
        <w:jc w:val="both"/>
      </w:pPr>
      <w:r>
        <w:rPr>
          <w:sz w:val="20"/>
        </w:rPr>
        <w:t xml:space="preserve">│     ЕВРЕЙСКАЯ АВТОНОМНАЯ ОБЛАСТЬ      │ │   Герб   │             │          │ │</w:t>
      </w:r>
    </w:p>
    <w:p>
      <w:pPr>
        <w:pStyle w:val="1"/>
        <w:jc w:val="both"/>
      </w:pPr>
      <w:r>
        <w:rPr>
          <w:sz w:val="20"/>
        </w:rPr>
        <w:t xml:space="preserve">│ _____________________________________ │ │Еврейской │             │Место для │ │</w:t>
      </w:r>
    </w:p>
    <w:p>
      <w:pPr>
        <w:pStyle w:val="1"/>
        <w:jc w:val="both"/>
      </w:pPr>
      <w:r>
        <w:rPr>
          <w:sz w:val="20"/>
        </w:rPr>
        <w:t xml:space="preserve">│ _____________________________________ │ │автономной│             │фотографии│ │</w:t>
      </w:r>
    </w:p>
    <w:p>
      <w:pPr>
        <w:pStyle w:val="1"/>
        <w:jc w:val="both"/>
      </w:pPr>
      <w:r>
        <w:rPr>
          <w:sz w:val="20"/>
        </w:rPr>
        <w:t xml:space="preserve">│       ЧЛЕН ОБЩЕСТВЕННОЙ ПАЛАТЫ        │ │ области  │             │          │ │</w:t>
      </w:r>
    </w:p>
    <w:p>
      <w:pPr>
        <w:pStyle w:val="1"/>
        <w:jc w:val="both"/>
      </w:pPr>
      <w:r>
        <w:rPr>
          <w:sz w:val="20"/>
        </w:rPr>
        <w:t xml:space="preserve">│     ЕВРЕЙСКОЙ АВТОНОМНОЙ ОБЛАСТИ      │ └──────────┘             └──────────┘ │</w:t>
      </w:r>
    </w:p>
    <w:p>
      <w:pPr>
        <w:pStyle w:val="1"/>
        <w:jc w:val="both"/>
      </w:pPr>
      <w:r>
        <w:rPr>
          <w:sz w:val="20"/>
        </w:rPr>
        <w:t xml:space="preserve">│                                       │                                       │</w:t>
      </w:r>
    </w:p>
    <w:p>
      <w:pPr>
        <w:pStyle w:val="1"/>
        <w:jc w:val="both"/>
      </w:pPr>
      <w:r>
        <w:rPr>
          <w:sz w:val="20"/>
        </w:rPr>
        <w:t xml:space="preserve">│                                       │___________ Личная подпись             │</w:t>
      </w:r>
    </w:p>
    <w:p>
      <w:pPr>
        <w:pStyle w:val="1"/>
        <w:jc w:val="both"/>
      </w:pPr>
      <w:r>
        <w:rPr>
          <w:sz w:val="20"/>
        </w:rPr>
        <w:t xml:space="preserve">│                                       │                                       │</w:t>
      </w:r>
    </w:p>
    <w:p>
      <w:pPr>
        <w:pStyle w:val="1"/>
        <w:jc w:val="both"/>
      </w:pPr>
      <w:r>
        <w:rPr>
          <w:sz w:val="20"/>
        </w:rPr>
        <w:t xml:space="preserve">│                                       │Дата выдачи "___" __________ 20__ г.   │</w:t>
      </w:r>
    </w:p>
    <w:p>
      <w:pPr>
        <w:pStyle w:val="1"/>
        <w:jc w:val="both"/>
      </w:pPr>
      <w:r>
        <w:rPr>
          <w:sz w:val="20"/>
        </w:rPr>
        <w:t xml:space="preserve">│                                       │г. Биробиджан                          │</w:t>
      </w:r>
    </w:p>
    <w:p>
      <w:pPr>
        <w:pStyle w:val="1"/>
        <w:jc w:val="both"/>
      </w:pPr>
      <w:r>
        <w:rPr>
          <w:sz w:val="20"/>
        </w:rPr>
        <w:t xml:space="preserve">│Губернатор                             │                                       │</w:t>
      </w:r>
    </w:p>
    <w:p>
      <w:pPr>
        <w:pStyle w:val="1"/>
        <w:jc w:val="both"/>
      </w:pPr>
      <w:r>
        <w:rPr>
          <w:sz w:val="20"/>
        </w:rPr>
        <w:t xml:space="preserve">│Еврейской автономной области _________ │Действительно по "__" _______ 20__ г.  │</w:t>
      </w:r>
    </w:p>
    <w:p>
      <w:pPr>
        <w:pStyle w:val="1"/>
        <w:jc w:val="both"/>
      </w:pPr>
      <w:r>
        <w:rPr>
          <w:sz w:val="20"/>
        </w:rPr>
        <w:t xml:space="preserve">│                                       │                                       │</w:t>
      </w:r>
    </w:p>
    <w:p>
      <w:pPr>
        <w:pStyle w:val="1"/>
        <w:jc w:val="both"/>
      </w:pPr>
      <w:r>
        <w:rPr>
          <w:sz w:val="20"/>
        </w:rPr>
        <w:t xml:space="preserve">└───────────────────────────────────────┴───────────────────────────────────────┘</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ЕАО от 25.04.2018 N 253-ОЗ</w:t>
            <w:br/>
            <w:t>(ред. от 29.10.2025)</w:t>
            <w:br/>
            <w:t>"Об Общественной палате Еврейской автономной области"</w:t>
            <w:br/>
            <w:t>(принят ЗС 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26&amp;n=58675&amp;dst=100008" TargetMode = "External"/><Relationship Id="rId9" Type="http://schemas.openxmlformats.org/officeDocument/2006/relationships/hyperlink" Target="https://login.consultant.ru/link/?req=doc&amp;base=RLAW426&amp;n=72647&amp;dst=100014" TargetMode = "External"/><Relationship Id="rId10" Type="http://schemas.openxmlformats.org/officeDocument/2006/relationships/hyperlink" Target="https://login.consultant.ru/link/?req=doc&amp;base=RLAW426&amp;n=87727&amp;dst=100008" TargetMode = "External"/><Relationship Id="rId11" Type="http://schemas.openxmlformats.org/officeDocument/2006/relationships/hyperlink" Target="https://login.consultant.ru/link/?req=doc&amp;base=RLAW426&amp;n=94425&amp;dst=100008" TargetMode = "External"/><Relationship Id="rId12" Type="http://schemas.openxmlformats.org/officeDocument/2006/relationships/hyperlink" Target="https://login.consultant.ru/link/?req=doc&amp;base=RLAW426&amp;n=94426&amp;dst=100008" TargetMode = "External"/><Relationship Id="rId13" Type="http://schemas.openxmlformats.org/officeDocument/2006/relationships/hyperlink" Target="https://login.consultant.ru/link/?req=doc&amp;base=LAW&amp;n=491404&amp;dst=100021" TargetMode = "External"/><Relationship Id="rId14" Type="http://schemas.openxmlformats.org/officeDocument/2006/relationships/hyperlink" Target="https://login.consultant.ru/link/?req=doc&amp;base=LAW&amp;n=2875" TargetMode = "External"/><Relationship Id="rId15" Type="http://schemas.openxmlformats.org/officeDocument/2006/relationships/hyperlink" Target="https://login.consultant.ru/link/?req=doc&amp;base=RLAW426&amp;n=89847" TargetMode = "External"/><Relationship Id="rId16" Type="http://schemas.openxmlformats.org/officeDocument/2006/relationships/hyperlink" Target="https://login.consultant.ru/link/?req=doc&amp;base=LAW&amp;n=491404&amp;dst=100047" TargetMode = "External"/><Relationship Id="rId17" Type="http://schemas.openxmlformats.org/officeDocument/2006/relationships/hyperlink" Target="https://login.consultant.ru/link/?req=doc&amp;base=LAW&amp;n=449631" TargetMode = "External"/><Relationship Id="rId18" Type="http://schemas.openxmlformats.org/officeDocument/2006/relationships/hyperlink" Target="https://login.consultant.ru/link/?req=doc&amp;base=RLAW426&amp;n=58675&amp;dst=100008" TargetMode = "External"/><Relationship Id="rId19" Type="http://schemas.openxmlformats.org/officeDocument/2006/relationships/hyperlink" Target="https://login.consultant.ru/link/?req=doc&amp;base=RLAW426&amp;n=94426&amp;dst=100010" TargetMode = "External"/><Relationship Id="rId20" Type="http://schemas.openxmlformats.org/officeDocument/2006/relationships/hyperlink" Target="https://login.consultant.ru/link/?req=doc&amp;base=RLAW426&amp;n=94426&amp;dst=100011" TargetMode = "External"/><Relationship Id="rId21" Type="http://schemas.openxmlformats.org/officeDocument/2006/relationships/hyperlink" Target="https://login.consultant.ru/link/?req=doc&amp;base=RLAW426&amp;n=87727&amp;dst=100008" TargetMode = "External"/><Relationship Id="rId22" Type="http://schemas.openxmlformats.org/officeDocument/2006/relationships/hyperlink" Target="https://login.consultant.ru/link/?req=doc&amp;base=LAW&amp;n=502258" TargetMode = "External"/><Relationship Id="rId23" Type="http://schemas.openxmlformats.org/officeDocument/2006/relationships/hyperlink" Target="https://login.consultant.ru/link/?req=doc&amp;base=RLAW426&amp;n=94426&amp;dst=100013" TargetMode = "External"/><Relationship Id="rId24" Type="http://schemas.openxmlformats.org/officeDocument/2006/relationships/hyperlink" Target="https://login.consultant.ru/link/?req=doc&amp;base=RLAW426&amp;n=94426&amp;dst=100013" TargetMode = "External"/><Relationship Id="rId25" Type="http://schemas.openxmlformats.org/officeDocument/2006/relationships/hyperlink" Target="https://login.consultant.ru/link/?req=doc&amp;base=RLAW426&amp;n=42791" TargetMode = "External"/><Relationship Id="rId26" Type="http://schemas.openxmlformats.org/officeDocument/2006/relationships/hyperlink" Target="https://login.consultant.ru/link/?req=doc&amp;base=RLAW426&amp;n=72647&amp;dst=10001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ЕАО от 25.04.2018 N 253-ОЗ
(ред. от 29.10.2025)
"Об Общественной палате Еврейской автономной области"
(принят ЗС ЕАО от 25.04.2018)</dc:title>
  <dcterms:created xsi:type="dcterms:W3CDTF">2026-01-02T14:48:44Z</dcterms:created>
</cp:coreProperties>
</file>