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ФАДН России от 13.12.2022 N 192</w:t>
              <w:br/>
              <w:t xml:space="preserve">"Об утверждении методических рекомендаций по организации в субъектах Российской Федерации деятельности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ФЕДЕРАЛЬНОЕ АГЕНТСТВО ПО ДЕЛАМ НАЦИОНАЛЬНОСТЕЙ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декабря 2022 г. N 192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МЕТОДИЧЕСКИХ РЕКОМЕНДАЦИЙ ПО ОРГАНИЗАЦИИ</w:t>
      </w:r>
    </w:p>
    <w:p>
      <w:pPr>
        <w:pStyle w:val="2"/>
        <w:jc w:val="center"/>
      </w:pPr>
      <w:r>
        <w:rPr>
          <w:sz w:val="20"/>
        </w:rPr>
        <w:t xml:space="preserve">В СУБЪЕКТАХ РОССИЙСКОЙ ФЕДЕРАЦИИ ДЕЯТЕЛЬНОСТИ ПО УКРЕПЛЕНИЮ</w:t>
      </w:r>
    </w:p>
    <w:p>
      <w:pPr>
        <w:pStyle w:val="2"/>
        <w:jc w:val="center"/>
      </w:pPr>
      <w:r>
        <w:rPr>
          <w:sz w:val="20"/>
        </w:rPr>
        <w:t xml:space="preserve">ЕДИНСТВА РОССИЙСКОЙ НАЦИИ И ЭТНОКУЛЬТУРНОМУ РАЗВИТИЮ НАРОДОВ</w:t>
      </w:r>
    </w:p>
    <w:p>
      <w:pPr>
        <w:pStyle w:val="2"/>
        <w:jc w:val="center"/>
      </w:pPr>
      <w:r>
        <w:rPr>
          <w:sz w:val="20"/>
        </w:rPr>
        <w:t xml:space="preserve">РОССИИ, А ТАКЖЕ ПО ПОДДЕРЖКЕ ЭКОНОМИЧЕСКОГО И СОЦИАЛЬНОГО</w:t>
      </w:r>
    </w:p>
    <w:p>
      <w:pPr>
        <w:pStyle w:val="2"/>
        <w:jc w:val="center"/>
      </w:pPr>
      <w:r>
        <w:rPr>
          <w:sz w:val="20"/>
        </w:rPr>
        <w:t xml:space="preserve">РАЗВИТИЯ КОРЕННЫХ МАЛОЧИСЛЕННЫХ НАРОДОВ СЕВЕРА,</w:t>
      </w:r>
    </w:p>
    <w:p>
      <w:pPr>
        <w:pStyle w:val="2"/>
        <w:jc w:val="center"/>
      </w:pPr>
      <w:r>
        <w:rPr>
          <w:sz w:val="20"/>
        </w:rPr>
        <w:t xml:space="preserve">СИБИРИ И ДАЛЬНЕГО ВОСТОКА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Правил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"Реализация государственной национальной политики" (приложение N 6(2) к государственной программе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 (Собрание законодательства Российской Федерации, 2017, N 2, ст. 361; 2022, N 51, ст. 9231)),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Методические </w:t>
      </w:r>
      <w:hyperlink w:history="0" w:anchor="P30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организации в субъектах Российской Федерации деятельности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признать утратившими силу приказы Федерального агентства по делам национальностей от 8 февраля 2019 г. </w:t>
      </w:r>
      <w:hyperlink w:history="0" r:id="rId8" w:tooltip="Приказ ФАДН России от 08.02.2019 N 11 &quot;Об утверждении методических рекомендаций по формированию и согласованию с объединениями коренных малочисленных народов Севера, Сибири и Дальнего Востока Российской Федерации перечня мероприятии в соответствии с пунктом 1.1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 в  ------------ Утратил силу или отменен {КонсультантПлюс}">
        <w:r>
          <w:rPr>
            <w:sz w:val="20"/>
            <w:color w:val="0000ff"/>
          </w:rPr>
          <w:t xml:space="preserve">N 11</w:t>
        </w:r>
      </w:hyperlink>
      <w:r>
        <w:rPr>
          <w:sz w:val="20"/>
        </w:rPr>
        <w:t xml:space="preserve"> "Об утверждении методических рекомендаций по формированию и согласованию с объединениями коренных малочисленных народов Севера, Сибири и Дальнего Востока Российской Федерации перечня мероприятий в соответствии с пунктом 1.1 Правил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 Российской Федерации в рамках реализации государственной программы Российской Федерации "Реализация государственной национальной политики", утвержденных постановлением Правительства Российской Федерации от 29 декабря 2016 г. N 1532" и от 30 июня 2021 г. </w:t>
      </w:r>
      <w:hyperlink w:history="0" r:id="rId9" w:tooltip="Приказ ФАДН России от 30.06.2021 N 76 &quot;Об утверждении Методических рекомендаций по формированию перечня мероприятий, соответствующих целям предоставления субсидии, установленным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&quot; ------------ Утратил силу или отменен {КонсультантПлюс}">
        <w:r>
          <w:rPr>
            <w:sz w:val="20"/>
            <w:color w:val="0000ff"/>
          </w:rPr>
          <w:t xml:space="preserve">N 76</w:t>
        </w:r>
      </w:hyperlink>
      <w:r>
        <w:rPr>
          <w:sz w:val="20"/>
        </w:rPr>
        <w:t xml:space="preserve"> "Об утверждении Методических рекомендаций по формированию перечня мероприятий, соответствующих целям предоставления субсидии, установленным Правилами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И.В.БАРИНОВ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Федерального агентства</w:t>
      </w:r>
    </w:p>
    <w:p>
      <w:pPr>
        <w:pStyle w:val="0"/>
        <w:jc w:val="right"/>
      </w:pPr>
      <w:r>
        <w:rPr>
          <w:sz w:val="20"/>
        </w:rPr>
        <w:t xml:space="preserve">по делам национальностей</w:t>
      </w:r>
    </w:p>
    <w:p>
      <w:pPr>
        <w:pStyle w:val="0"/>
        <w:jc w:val="right"/>
      </w:pPr>
      <w:r>
        <w:rPr>
          <w:sz w:val="20"/>
        </w:rPr>
        <w:t xml:space="preserve">от 13 декабря 2022 г. N 192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ОРГАНИЗАЦИИ В СУБЪЕКТАХ РОССИЙСКОЙ ФЕДЕРАЦИИ ДЕЯТЕЛЬНОСТИ</w:t>
      </w:r>
    </w:p>
    <w:p>
      <w:pPr>
        <w:pStyle w:val="2"/>
        <w:jc w:val="center"/>
      </w:pPr>
      <w:r>
        <w:rPr>
          <w:sz w:val="20"/>
        </w:rPr>
        <w:t xml:space="preserve">ПО УКРЕПЛЕНИЮ ЕДИНСТВА РОССИЙСКОЙ НАЦИИ И ЭТНОКУЛЬТУРНОМУ</w:t>
      </w:r>
    </w:p>
    <w:p>
      <w:pPr>
        <w:pStyle w:val="2"/>
        <w:jc w:val="center"/>
      </w:pPr>
      <w:r>
        <w:rPr>
          <w:sz w:val="20"/>
        </w:rPr>
        <w:t xml:space="preserve">РАЗВИТИЮ НАРОДОВ РОССИИ, А ТАКЖЕ ПО ПОДДЕРЖКЕ ЭКОНОМИЧЕСКОГО</w:t>
      </w:r>
    </w:p>
    <w:p>
      <w:pPr>
        <w:pStyle w:val="2"/>
        <w:jc w:val="center"/>
      </w:pPr>
      <w:r>
        <w:rPr>
          <w:sz w:val="20"/>
        </w:rPr>
        <w:t xml:space="preserve">И СОЦИАЛЬНОГО РАЗВИТИЯ КОРЕННЫХ МАЛОЧИСЛЕННЫХ НАРОДОВ</w:t>
      </w:r>
    </w:p>
    <w:p>
      <w:pPr>
        <w:pStyle w:val="2"/>
        <w:jc w:val="center"/>
      </w:pPr>
      <w:r>
        <w:rPr>
          <w:sz w:val="20"/>
        </w:rPr>
        <w:t xml:space="preserve">СЕВЕРА, СИБИРИ И ДАЛЬНЕГО ВОСТОКА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организации в субъектах Российской Федерации деятельности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 в рамках единой субсидии из федерального бюджета бюджетам субъектов Российской Федерации в целях достижения показателей государственной </w:t>
      </w:r>
      <w:hyperlink w:history="0" r:id="rId10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Российской Федерации "Реализация государственной национальной политики" и показателей ее структурных элементов (далее соответственно - Методические рекомендации, Единая субсидия, Государственная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Деятельность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 характеризуется реализацией мероприятий (результатов) в рамках государственной программы субъекта Российской Федерации (государственных программ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достижения показателей Государственной </w:t>
      </w:r>
      <w:hyperlink w:history="0" r:id="rId11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субъекты Российской Федерации определяют мероприятия (результаты) по следующим направлениям: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укрепление единства российской нации и этнокультурное развитие народов России (далее - направление 1);</w:t>
      </w:r>
    </w:p>
    <w:bookmarkStart w:id="41" w:name="P41"/>
    <w:bookmarkEnd w:id="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поддержка экономического и социального развития коренных малочисленных народов Севера, Сибири и Дальнего Востока Российской Федерации (далее - направление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</w:t>
      </w:r>
      <w:hyperlink w:history="0" r:id="rId12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Правил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"Реализация государственной национальной политики", утвержденной постановлением Правительства Российской Федерации от 29 декабря 2016 г. N 1532, условиями предоставления Единой субсидии в том числе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</w:t>
      </w:r>
      <w:hyperlink w:history="0" r:id="rId13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, в государственной интегрированной информационной системе управления общественными финансами "Электронный бюджет" (далее соответственно - нефинансовое соглашение, система "Электронный бюджет");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утвержденного субъектом Российской Федерации и размещенного в системе "Электронный бюджет" плана по достижению показателей Государственной </w:t>
      </w:r>
      <w:hyperlink w:history="0" r:id="rId14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(показателей ее структурных элементов), установленных в нефинансовом соглашении (далее - план по достижению показателей);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соглашения о предоставлении Единой субсидии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Заключение нефинансового соглашения осуществляется согласно </w:t>
      </w:r>
      <w:hyperlink w:history="0" r:id="rId15" w:tooltip="Приказ Минэкономразвития России от 30.11.2021 N 722 &quot;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его типовой формы&quot; (Зарегистрировано в Минюсте России 24.03.2022 N 67880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Минэкономразвития России от 30 ноября 2021 г. N 722 "Об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его типовой формы".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Подписание нефинансового соглашения со стороны субъекта Российской Федерации осуществляется уполномоченным лицом в должности не ниже заместителя руководителя высшего исполнительного органа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нефинансового соглашения осуществляется не позднее 16 декабря текущего финансового года в отношении очередного финансового года или не позднее 30 рабочих дней со дня утверждения изменений в паспорт Государственной </w:t>
      </w:r>
      <w:hyperlink w:history="0" r:id="rId16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в текущем финансовом году в системе "Электронный бюджет".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Показатели нефинансового соглашения соответствуют следующим показателям федерального проекта "Совершенствование государственно-общественного партнерства в сфере государственной национальной политики и в отношении российского казачества, а также реализация государственной национальной политики в субъектах Российской Федерации, в том числе поддержка экономического и социального развития коренных малочисленных народов Севера, Сибири и Дальнего Востока Российской Федерации" Государственной </w:t>
      </w:r>
      <w:hyperlink w:history="0" r:id="rId17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 </w:t>
      </w:r>
      <w:hyperlink w:history="0" w:anchor="P40" w:tooltip="а) укрепление единства российской нации и этнокультурное развитие народов России (далее - направление 1);">
        <w:r>
          <w:rPr>
            <w:sz w:val="20"/>
            <w:color w:val="0000ff"/>
          </w:rPr>
          <w:t xml:space="preserve">направлению 1</w:t>
        </w:r>
      </w:hyperlink>
      <w:r>
        <w:rPr>
          <w:sz w:val="20"/>
        </w:rPr>
        <w:t xml:space="preserve">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укрепление общероссийского гражданского единства (тыс. человек);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участников мероприятий, направленных на этнокультурное развитие народов России (тыс. человек);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 </w:t>
      </w:r>
      <w:hyperlink w:history="0" w:anchor="P41" w:tooltip="б) поддержка экономического и социального развития коренных малочисленных народов Севера, Сибири и Дальнего Востока Российской Федерации (далее - направление 2).">
        <w:r>
          <w:rPr>
            <w:sz w:val="20"/>
            <w:color w:val="0000ff"/>
          </w:rPr>
          <w:t xml:space="preserve">направлению 2</w:t>
        </w:r>
      </w:hyperlink>
      <w:r>
        <w:rPr>
          <w:sz w:val="20"/>
        </w:rPr>
        <w:t xml:space="preserve">:</w:t>
      </w:r>
    </w:p>
    <w:bookmarkStart w:id="54" w:name="P54"/>
    <w:bookmarkEnd w:id="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участников мероприятий, направленных на этнокультурное развитие коренных малочисленных народов Российской Федерации (человек);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(процент).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 в нефинансовом соглашении соответствуют значениям показателей, установленным Государственной </w:t>
      </w:r>
      <w:hyperlink w:history="0" r:id="rId18" w:tooltip="Постановление Правительства РФ от 29.12.2016 N 1532 (ред. от 18.04.2023) &quot;Об утверждении государственной программы Российской Федерации &quot;Реализация государственной национальной политики&quot;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Расчет значений показателя, определенного </w:t>
      </w:r>
      <w:hyperlink w:history="0" w:anchor="P51" w:tooltip="количество участников мероприятий, направленных на укрепление общероссийского гражданского единства (тыс. человек);">
        <w:r>
          <w:rPr>
            <w:sz w:val="20"/>
            <w:color w:val="0000ff"/>
          </w:rPr>
          <w:t xml:space="preserve">абзацем вторым подпункта "а" пункта 6</w:t>
        </w:r>
      </w:hyperlink>
      <w:r>
        <w:rPr>
          <w:sz w:val="20"/>
        </w:rPr>
        <w:t xml:space="preserve"> настоящих Методических рекомендаций, осуществляется по мероприятиям (результатам), определенным </w:t>
      </w:r>
      <w:hyperlink w:history="0" w:anchor="P63" w:tooltip="а) мероприятия (результаты) в целях укрепления гражданского единства, гражданского самосознания и сохранения самобытности многонационального народа Российской Федерации (российской нации):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68" w:tooltip="б) мероприятия (результаты) в целях обеспечения межнационального и межрелигиозного мира и согласия, гармонизации межнациональных (межэтнических) отношений:">
        <w:r>
          <w:rPr>
            <w:sz w:val="20"/>
            <w:color w:val="0000ff"/>
          </w:rPr>
          <w:t xml:space="preserve">"б" пункта 10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значений показателя, определенного </w:t>
      </w:r>
      <w:hyperlink w:history="0" w:anchor="P52" w:tooltip="численность участников мероприятий, направленных на этнокультурное развитие народов России (тыс. человек);">
        <w:r>
          <w:rPr>
            <w:sz w:val="20"/>
            <w:color w:val="0000ff"/>
          </w:rPr>
          <w:t xml:space="preserve">абзацем третьим подпункта "а" пункта 6</w:t>
        </w:r>
      </w:hyperlink>
      <w:r>
        <w:rPr>
          <w:sz w:val="20"/>
        </w:rPr>
        <w:t xml:space="preserve"> настоящих Методических рекомендаций, осуществляется по мероприятиям (результатам), определенным </w:t>
      </w:r>
      <w:hyperlink w:history="0" w:anchor="P75" w:tooltip="в) мероприятия (результаты) в целях содействия этнокультурному и духовному развитию народов Российской Федерации:">
        <w:r>
          <w:rPr>
            <w:sz w:val="20"/>
            <w:color w:val="0000ff"/>
          </w:rPr>
          <w:t xml:space="preserve">подпунктом "в" пункта 10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Расчет значений показателя, определенного </w:t>
      </w:r>
      <w:hyperlink w:history="0" w:anchor="P54" w:tooltip="количество участников мероприятий, направленных на этнокультурное развитие коренных малочисленных народов Российской Федерации (человек);">
        <w:r>
          <w:rPr>
            <w:sz w:val="20"/>
            <w:color w:val="0000ff"/>
          </w:rPr>
          <w:t xml:space="preserve">абзацем вторым подпункта "б" пункта 6</w:t>
        </w:r>
      </w:hyperlink>
      <w:r>
        <w:rPr>
          <w:sz w:val="20"/>
        </w:rPr>
        <w:t xml:space="preserve"> настоящих Методических рекомендаций, осуществляется по мероприятиям (результатам), определенным </w:t>
      </w:r>
      <w:hyperlink w:history="0" w:anchor="P89" w:tooltip="по проведению спартакиад, олимпиад, детских фестивалей, летних лингвистических лагерей;">
        <w:r>
          <w:rPr>
            <w:sz w:val="20"/>
            <w:color w:val="0000ff"/>
          </w:rPr>
          <w:t xml:space="preserve">абзацем вторым подпункта "б"</w:t>
        </w:r>
      </w:hyperlink>
      <w:r>
        <w:rPr>
          <w:sz w:val="20"/>
        </w:rPr>
        <w:t xml:space="preserve"> и </w:t>
      </w:r>
      <w:hyperlink w:history="0" w:anchor="P94" w:tooltip="культурно-массовые (межэтнические, межнациональные, этнокультурные)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99" w:tooltip="направленные на проведение этнологических исследований;">
        <w:r>
          <w:rPr>
            <w:sz w:val="20"/>
            <w:color w:val="0000ff"/>
          </w:rPr>
          <w:t xml:space="preserve">седьмым подпункта "в" пункта 11</w:t>
        </w:r>
      </w:hyperlink>
      <w:r>
        <w:rPr>
          <w:sz w:val="20"/>
        </w:rPr>
        <w:t xml:space="preserve"> настоящих Методических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значений показателя, определенного </w:t>
      </w:r>
      <w:hyperlink w:history="0" w:anchor="P55" w:tooltip="доля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 (процент).">
        <w:r>
          <w:rPr>
            <w:sz w:val="20"/>
            <w:color w:val="0000ff"/>
          </w:rPr>
          <w:t xml:space="preserve">абзацем третьим подпункта "б" пункта 6</w:t>
        </w:r>
      </w:hyperlink>
      <w:r>
        <w:rPr>
          <w:sz w:val="20"/>
        </w:rPr>
        <w:t xml:space="preserve"> настоящих Методических рекомендаций, осуществляется из расчета отношения общего количества граждан из числа коренных малочисленных народов Севера, Сибири и Дальнего Востока Российской Федерации,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 (ед.), к общему количеству опрошенных граждан из числа коренных малочисленных народов Севера, Сибири и Дальнего Востока Российской Федерации (ед.).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План по достижению показателей формируется в соответствии с </w:t>
      </w:r>
      <w:hyperlink w:history="0" r:id="rId19" w:tooltip="Приказ Минфина России от 21.10.2022 N 155н &quot;Об утверждении общих требований к формированию плана по достижению показателей государственной программы Российской Федерации (показателей структурных элементов государственной программы Российской Федерации, за исключением федеральных проектов в составе национальных проектов), установленных в соглашении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Минфина России от 21 октября 2022 г. N 155 "Об утверждении общих требований к формированию плана по достижению показателей государственной программы Российской Федерации (показателей структурных элементов государственной программы Российской Федерации, за исключением федеральных проектов в составе национальных проектов), установленных в соглашении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отчета о его выполнении", а также с учетом </w:t>
      </w:r>
      <w:hyperlink w:history="0" w:anchor="P62" w:tooltip="10. В целях формирования плана по достижению показателей в качестве мероприятий (результатов) по направлению 1 рекомендуется предусматривать:">
        <w:r>
          <w:rPr>
            <w:sz w:val="20"/>
            <w:color w:val="0000ff"/>
          </w:rPr>
          <w:t xml:space="preserve">пунктов 10</w:t>
        </w:r>
      </w:hyperlink>
      <w:r>
        <w:rPr>
          <w:sz w:val="20"/>
        </w:rPr>
        <w:t xml:space="preserve"> - </w:t>
      </w:r>
      <w:hyperlink w:history="0" w:anchor="P115" w:tooltip="15. При формировании мероприятий (результатов) плана по достижению показателей необходимо учитывать текущее состояние национальной политики в субъекте Российской Федерации, финансовую эффективность, а также целесообразность проведения планируемых мероприятий (результатов)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Методических рекомендаций.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целях формирования плана по достижению показателей в качестве мероприятий (результатов) по </w:t>
      </w:r>
      <w:hyperlink w:history="0" w:anchor="P40" w:tooltip="а) укрепление единства российской нации и этнокультурное развитие народов России (далее - направление 1);">
        <w:r>
          <w:rPr>
            <w:sz w:val="20"/>
            <w:color w:val="0000ff"/>
          </w:rPr>
          <w:t xml:space="preserve">направлению 1</w:t>
        </w:r>
      </w:hyperlink>
      <w:r>
        <w:rPr>
          <w:sz w:val="20"/>
        </w:rPr>
        <w:t xml:space="preserve"> рекомендуется предусматривать: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мероприятия (результаты) в целях укрепления гражданского единства, гражданского самосознания и сохранения самобытности многонационального народа Российской Федерации (российской нации):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формированию общероссийской гражданской идентичности, приуроченные к празднованию государственных праздников (12 июня - День России, 4 ноября - День народного единства);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поддержку и сохранение русского языка как государственного;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и распространению информационных материалов, направленных на освещение вопросов реализации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автономных некоммерческих организаций, региональных национально-культурных автономий и социально ориентированных некоммерческих организаций (далее - институты гражданского общества), реализующих проекты в сфере укрепления гражданского единства, гражданского самосознания и сохранения самобытности многонационального народа Российской Федерации (российской нации);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мероприятия (результаты) в целях обеспечения межнационального и межрелигиозного мира и согласия, гармонизации межнациональных (межэтнических) отношений: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организации и проведению конференций, конгрессов, форумов, конкурсов, выставок, семинаров, круглых столов и тренингов по актуальным вопросам в сфере обеспечения межнационального и межрелигиозного мира и согласия, гармонизации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вовлечению институтов гражданского общества, в том числе молодежных и детских общественных объединений, в проведение мероприятий в сфере обеспечения межнационального и межрелигиозного мира и согласия, гармонизации межнациональных (межэтнических)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социальную и культурную адаптацию иностранных граждан в Российской Федерации и их интеграцию в российское общество;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профилактику ксенофобии, этнического и религиозного экстремизма;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и распространению информационных материалов, направленных на освещение вопросов реализации государственной национальной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институтов гражданского общества в целях реализации проектов в области межнационального и межрелигиозного мира и согласия, гармонизации межнациональных (межэтнических) отношений;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мероприятия (результаты) в целях содействия этнокультурному и духовному развитию народов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сохранение и защиту самобытности, культуры, традиций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организации и проведению конференций, конгрессов, форумов, конкурсов, выставок, семинаров, круглых столов и тренингов, направленных на этнокультурное и духовное развитие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оказанию услуг по организации культурно-просветительских программ, направленных на этнокультурное развитие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развитие традиционной культуры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языкового многообразия;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развитию этнокультурной инфраструктуры, в том числе домов дружбы, центров национальной культуры, иных государственных и муниципальных учреждений, деятельность которых направлена на содействие этнокультурному и духовному развитию народов Российской Федерации, в том числе предоставление поддержки институтам гражданского общества, оказывающим услуги по соответствующим направлениям;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и распространению информационных материалов, направленных на освещение вопросов реализации государственной национальной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формирования плана по достижению показателей в качестве мероприятий (результатов) по </w:t>
      </w:r>
      <w:hyperlink w:history="0" w:anchor="P41" w:tooltip="б) поддержка экономического и социального развития коренных малочисленных народов Севера, Сибири и Дальнего Востока Российской Федерации (далее - направление 2).">
        <w:r>
          <w:rPr>
            <w:sz w:val="20"/>
            <w:color w:val="0000ff"/>
          </w:rPr>
          <w:t xml:space="preserve">направлению 2</w:t>
        </w:r>
      </w:hyperlink>
      <w:r>
        <w:rPr>
          <w:sz w:val="20"/>
        </w:rPr>
        <w:t xml:space="preserve"> рекомендуется предусматривать: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мероприятия (результаты) в целях создания условий для устойчивого развития экономики традиционных отраслей хозяйствования коренных малочисленных народов Севера, Сибири и Дальнего Востока Российской Федерации (далее - КМНС) в местах традиционного проживания и традиционной хозяйственной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урегулированию земельных отношений, связанных с традиционной хозяйственной деятельностью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поддержку традиционной хозяйственной деятельности КМНС, в том числе приобретение необходимого инвентаря и оборудования (за исключением направлений поддержки видов традиционной хозяйственной деятельности, софинансируемых в рамках иных видов межбюджетных трансфертов);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факторий (за исключением иных видов межбюджетных трансфертов);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мероприятия (результаты) в целях развития сферы образования: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проведению спартакиад, олимпиад, детских фестивалей, летних лингвистических лагерей;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развитию сети кочевых и других специфических моделей общеобразовательных организаций в местах традиционного проживания и традиционной хозяйственной деятельности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подготовке и повышению квалификации учителей родных языков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подготовке квалифицированных кадров в целях осуществления традиционной хозяйственной деятельности КМНС, а также сохранения культуры и родных языков КМНС, в том числе оказание поддержки лиц из числа КМНС в период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мероприятия (результаты) в целях развития сферы культуры: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культурно-массовые (межэтнические, межнациональные, этнокультурные);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и популяризации традиционных художественных промыслов и традиционных видов деятельности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перевода на русский язык произведений художественной литературы на языках КМНС, их издание и распространение;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перевода на языки КМНС произведений художественной литературы на русском языке, их издание и распространение;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участия лиц из числа КМНС в этнокультурных мероприятиях регионального и федерального значений;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направленные на проведение этнологических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этнических центров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обустройству культовых мест на территориях традиционного расселения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мероприятия (результаты) в целях развития медицинского обслуживания: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оплате медицинских услуг для лиц из числа КМНС, не предусмотренных обязательным медицинским страхованием, в зависимости от региональных нозологий;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отдыха детей из числа КМНС в оздоровительных учреждениях (лагерях);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мероприятия (результаты) в целях развития и модернизации инфраструктуры и информационно-коммуникационных ресурсов в местах традиционного проживания и традиционной хозяйственной деятельности КМНС: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проезда лиц из числа КМНС к объектам социальной защиты населения, образования, здравоохранения, транспорта;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приобретению единиц транспорта для учреждений здравоохранения в целях оказания медицинской помощи в местах традиционного проживания и традиционной хозяйственной деятельности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обеспечению участия детей из числа КМНС в образовательных мероприятиях регионального и федерального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поддержке средств массовой информации, издаваемых (выпускаемых) на языках КМНС;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созданию (поддержке) специализированных информационных ресурсов (порталов), в том числе на языках КМНС.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Исследование удовлетворенности граждан из числа КМНС качеством реализуемых мероприятий (результатов), направленных на поддержку экономического и социального развития КМНС, рекомендуется проводить на постоянной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проведение соответствующих исследований за счет средств Единой субсидии по </w:t>
      </w:r>
      <w:hyperlink w:history="0" w:anchor="P41" w:tooltip="б) поддержка экономического и социального развития коренных малочисленных народов Севера, Сибири и Дальнего Востока Российской Федерации (далее - направление 2).">
        <w:r>
          <w:rPr>
            <w:sz w:val="20"/>
            <w:color w:val="0000ff"/>
          </w:rPr>
          <w:t xml:space="preserve">направлению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Проект перечня мероприятий (результатов) по </w:t>
      </w:r>
      <w:hyperlink w:history="0" w:anchor="P41" w:tooltip="б) поддержка экономического и социального развития коренных малочисленных народов Севера, Сибири и Дальнего Востока Российской Федерации (далее - направление 2).">
        <w:r>
          <w:rPr>
            <w:sz w:val="20"/>
            <w:color w:val="0000ff"/>
          </w:rPr>
          <w:t xml:space="preserve">направлению 2</w:t>
        </w:r>
      </w:hyperlink>
      <w:r>
        <w:rPr>
          <w:sz w:val="20"/>
        </w:rPr>
        <w:t xml:space="preserve"> рекомендуется согласовывать с объединениями КМНС путем проведения общественного обсуждения и (или) в рамках заседаний общественных советов при исполнительных органах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целей общественного обсуждения могут быть использованы информационные ресурсы в информационно-телекоммуникационной сети "Интернет" ответственных органов государственной власти субъектов Российской Федерации и (или) общественных палат субъектов Российской Федерации.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При формировании мероприятий (результатов) плана по достижению показателей необходимо учитывать текущее состояние национальной политики в субъекте Российской Федерации, финансовую эффективность, а также целесообразность проведения планируемых мероприятий (результатов).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Утверждение плана (уточненного плана) по достижению показателей и отчета о его выполнении осуществляется должностным лицом, уполномоченным высшим исполнительным органом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целях формирования уведомления о внесении изменений в план по достижению показателей в системе "Электронный бюджет" субъект Российской Федерации направляет запрос о целесообразности внесения изменений в план по достижению показателей в Федеральное агентство по делам национальностей посредством электронного документооборота либо на бумажном носителе за подписью руководителя исполнительного органа субъекта Российской Федерации, курирующего реализацию государственной национальной политики в субъекте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агентство по делам национальностей представляет позицию о целесообразности внесения изменений в план по достижению показателей после поступления соответствующего запроса посредством электронного документооборота либо на бумажном носителе в течение 5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 в план по достижению показателей в системе "Электронный бюджет" утверждаются субъектом Российской Федерации после получения положительной позиции от Федерального агентства по делам национальностей об утверждении новой редакции плана по достижению показателей.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 Российской Федерации уведомляет Федеральное агентство по делам национальностей об утверждении новой редакции плана по достижению показателей в течение 5 рабочих дней со дня утверждения таких изменений.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Соглашение о предоставлении Единой субсидий формируется в соответствии с </w:t>
      </w:r>
      <w:hyperlink w:history="0" r:id="rId20" w:tooltip="Постановление Правительства РФ от 30.09.2014 N 999 (ред. от 28.03.2023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субсидий из федерального бюджета бюджетам субъектов Российской Федерации&quot;) {КонсультантПлюс}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Федерации", а также типовой формы соглашения, утвержденной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Единой субсидий содержит информацию о финансовом обеспечении расходных обязательств субъекта Российской Федерации, в целях софинансирования которых предоставляется Единая субсидия.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ФАДН России от 13.12.2022 N 192</w:t>
            <w:br/>
            <w:t>"Об утверждении методических рекомендаций по организации в субъектах Российской Ф...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07A31A502D6D463EFE2C438B67985988F15A9EC1CA9FCA659DA9C6A94A5CE1568775D4A1D2F8461E95F1F0D71E304B89DFA852F27FADAPEu4I" TargetMode = "External"/>
	<Relationship Id="rId8" Type="http://schemas.openxmlformats.org/officeDocument/2006/relationships/hyperlink" Target="consultantplus://offline/ref=B07A31A502D6D463EFE2CD21B17985988D12A8ED1CACFCA659DA9C6A94A5CE157A770542142C9D63E4154C4926PEuDI" TargetMode = "External"/>
	<Relationship Id="rId9" Type="http://schemas.openxmlformats.org/officeDocument/2006/relationships/hyperlink" Target="consultantplus://offline/ref=9849C6F3286D8713832CA56CF53D4F5A18A43EF15985A0B78959B48AC422B99DC440923FC61B73392F1FE905BEQ1uFI" TargetMode = "External"/>
	<Relationship Id="rId10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1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2" Type="http://schemas.openxmlformats.org/officeDocument/2006/relationships/hyperlink" Target="consultantplus://offline/ref=9849C6F3286D8713832CAC75F23D4F5A1BA733F95582A0B78959B48AC422B99DD640CA37CF186A3C2255BA41E911EA6D1381A0FC789306QCu3I" TargetMode = "External"/>
	<Relationship Id="rId13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4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5" Type="http://schemas.openxmlformats.org/officeDocument/2006/relationships/hyperlink" Target="consultantplus://offline/ref=9849C6F3286D8713832CAC75F23D4F5A1BA234FD5686A0B78959B48AC422B99DC440923FC61B73392F1FE905BEQ1uFI" TargetMode = "External"/>
	<Relationship Id="rId16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7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8" Type="http://schemas.openxmlformats.org/officeDocument/2006/relationships/hyperlink" Target="consultantplus://offline/ref=9849C6F3286D8713832CAC75F23D4F5A1BA733F95582A0B78959B48AC422B99DD640CA33C7196D3A290ABF54F849E66E0F9FA6E4649104C2Q3uDI" TargetMode = "External"/>
	<Relationship Id="rId19" Type="http://schemas.openxmlformats.org/officeDocument/2006/relationships/hyperlink" Target="consultantplus://offline/ref=9849C6F3286D8713832CAC75F23D4F5A1BA033F95788A0B78959B48AC422B99DC440923FC61B73392F1FE905BEQ1uFI" TargetMode = "External"/>
	<Relationship Id="rId20" Type="http://schemas.openxmlformats.org/officeDocument/2006/relationships/hyperlink" Target="consultantplus://offline/ref=9849C6F3286D8713832CAC75F23D4F5A1BA735FA5980A0B78959B48AC422B99DD640CA33C7196D3D2D0ABF54F849E66E0F9FA6E4649104C2Q3u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ФАДН России от 13.12.2022 N 192
"Об утверждении методических рекомендаций по организации в субъектах Российской Федерации деятельности по укреплению единства российской нации и этнокультурному развитию народов России, а также по поддержке экономического и социального развития коренных малочисленных народов Севера, Сибири и Дальнего Востока Российской Федерации"</dc:title>
  <dcterms:created xsi:type="dcterms:W3CDTF">2023-06-12T08:46:15Z</dcterms:created>
</cp:coreProperties>
</file>