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России от 04.10.2023 N 2812</w:t>
              <w:br/>
              <w:t xml:space="preserve">"Об утверждении формы заявки некоммерческих организаций на предоставление из федерального бюджета грантов в форме субсидий на оказание государственной поддержки независимым театральным и музыкальным коллективам для реализации творческих проектов"</w:t>
              <w:br/>
              <w:t xml:space="preserve">(Зарегистрировано в Минюсте России 15.01.2024 N 76861)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января 2024 г. N 76861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октября 2023 г. N 2812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ПРЕДОСТАВЛЕНИЕ ИЗ ФЕДЕРАЛЬНОГО</w:t>
      </w:r>
    </w:p>
    <w:p>
      <w:pPr>
        <w:pStyle w:val="2"/>
        <w:jc w:val="center"/>
      </w:pPr>
      <w:r>
        <w:rPr>
          <w:sz w:val="20"/>
        </w:rPr>
        <w:t xml:space="preserve">БЮДЖЕТА ГРАНТОВ В ФОРМЕ СУБСИДИЙ НА ОКАЗАНИЕ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НЕЗАВИСИМЫМ ТЕАТРАЛЬНЫМ И МУЗЫКАЛЬНЫМ КОЛЛЕКТИВАМ</w:t>
      </w:r>
    </w:p>
    <w:p>
      <w:pPr>
        <w:pStyle w:val="2"/>
        <w:jc w:val="center"/>
      </w:pPr>
      <w:r>
        <w:rPr>
          <w:sz w:val="20"/>
        </w:rPr>
        <w:t xml:space="preserve">ДЛЯ РЕАЛИЗАЦИИ ТВОРЧЕСКИХ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абзацем первым пункта 5</w:t>
        </w:r>
      </w:hyperlink>
      <w:r>
        <w:rPr>
          <w:sz w:val="20"/>
        </w:rPr>
        <w:t xml:space="preserve">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проектов, утвержденных постановлением Правительства Российской Федерации от 31 декабря 2016 г. N 1579,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1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некоммерческих организаций на предоставление из федерального бюджета грантов в форме субсидий на оказание государственной поддержки независимым театральным и музыкальным коллективам для реализации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культуры России от 04.04.2017 N 480 &quot;Об утверждении порядка проведения конкурсного отбора заявок некоммерческих организаций на предоставление государственной поддержки (грантов) театральным и музыкальным коллективам для реализации творческих проектов, формы заявки на предоставление государственной поддержки (грантов) театральным и музыкальным коллективам для реализации творческих проектов, а также формы отчета об осуществлении расходов, источником финансового обеспечения которых является государст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 Российской Федерации от 4 апреля 2017 г. N 480 "Об утверждении порядка проведения конкурсного отбора заявок некоммерческих организаций на предоставление государственной поддержки (грантов) театральным и музыкальным коллективам для реализации творческих проектов, формы заявки на предоставление государственной поддержки (грантов) театральным и музыкальным коллективам для реализации творческих проектов, а также формы отчета об осуществлении расходов, источником финансового обеспечения которых является государственная поддержка (грант)" (зарегистрирован Министерством юстиции Российской Федерации 28 июля 2017 г., регистрационный N 47569).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О.Б.ЛЮБИМОВА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октября 2023 г. N 2812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заявки некоммерческих организаций на предоставление</w:t>
      </w:r>
    </w:p>
    <w:p>
      <w:pPr>
        <w:pStyle w:val="0"/>
        <w:jc w:val="center"/>
      </w:pPr>
      <w:r>
        <w:rPr>
          <w:sz w:val="20"/>
        </w:rPr>
        <w:t xml:space="preserve">из федерального бюджета грантов в форме субсидий на оказание</w:t>
      </w:r>
    </w:p>
    <w:p>
      <w:pPr>
        <w:pStyle w:val="0"/>
        <w:jc w:val="center"/>
      </w:pPr>
      <w:r>
        <w:rPr>
          <w:sz w:val="20"/>
        </w:rPr>
        <w:t xml:space="preserve">государственной поддержки независимым театральным</w:t>
      </w:r>
    </w:p>
    <w:p>
      <w:pPr>
        <w:pStyle w:val="0"/>
        <w:jc w:val="center"/>
      </w:pPr>
      <w:r>
        <w:rPr>
          <w:sz w:val="20"/>
        </w:rPr>
        <w:t xml:space="preserve">и музыкальным коллективам для реализации</w:t>
      </w:r>
    </w:p>
    <w:p>
      <w:pPr>
        <w:pStyle w:val="0"/>
        <w:jc w:val="center"/>
      </w:pPr>
      <w:r>
        <w:rPr>
          <w:sz w:val="20"/>
        </w:rPr>
        <w:t xml:space="preserve">творческих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69"/>
        <w:gridCol w:w="3964"/>
      </w:tblGrid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в соответствии с учредительными документами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организации в соответствии с учредительными документами (при наличии)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организации, соответствующие целям, на достижение которых предоставляется грант </w:t>
            </w:r>
            <w:hyperlink w:history="0" w:anchor="P112" w:tooltip="&lt;1&gt; Абзац второй пункта 7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, утвержденных постановлением Правительства Российской Федерации от 31 декабря 2016 г. N 1579 (далее - Правила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организации требованиям, установленным </w:t>
            </w:r>
            <w:hyperlink w:history="0" r:id="rId9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      <w:r>
                <w:rPr>
                  <w:sz w:val="20"/>
                  <w:color w:val="0000ff"/>
                </w:rPr>
                <w:t xml:space="preserve">пунктом 13</w:t>
              </w:r>
            </w:hyperlink>
            <w:r>
              <w:rPr>
                <w:sz w:val="20"/>
              </w:rPr>
              <w:t xml:space="preserve"> Правил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и адрес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 организации (при наличии)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руководителя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Должность руководителя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руководителя организации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творческого проекта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Художественная ценность творческого проекта </w:t>
            </w:r>
            <w:hyperlink w:history="0" w:anchor="P113" w:tooltip="&lt;2&gt; Абзац третий пункта 7 Прави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Описание творческого проекта и ожидаемого социально-культурного эффекта от его реализации </w:t>
            </w:r>
            <w:hyperlink w:history="0" w:anchor="P114" w:tooltip="&lt;3&gt; Абзац шестой пункта 8 Правил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творческого проекта </w:t>
            </w:r>
            <w:hyperlink w:history="0" w:anchor="P115" w:tooltip="&lt;4&gt; Абзац девятый пункта 8 Правил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Наличие квалифицированного художественно-артистического персонала для реализации творческого проекта </w:t>
            </w:r>
            <w:hyperlink w:history="0" w:anchor="P116" w:tooltip="&lt;5&gt; Абзац четвертый пункта 7 Правил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составе, уровне образования, опыте и компетенциях участников творческого проекта </w:t>
            </w:r>
            <w:hyperlink w:history="0" w:anchor="P117" w:tooltip="&lt;6&gt; Абзац седьмой пункта 8 Правил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Количественные и качественные характеристики работ, выполняемых в рамках реализации творческого проекта </w:t>
            </w:r>
            <w:hyperlink w:history="0" w:anchor="P118" w:tooltip="&lt;7&gt; Абзац восьмой пункта 8 Правил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материально-технических ресурсов для реализации творческого проекта </w:t>
            </w:r>
            <w:hyperlink w:history="0" w:anchor="P119" w:tooltip="&lt;8&gt; Абзац шестой пункта 7 Правил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творческого проекта, запрашиваемого организацией в рамках предоставления гранта в соответствии со сметой затрат на реализацию творческого проекта с обоснованием размера указанных затрат </w:t>
            </w:r>
            <w:hyperlink w:history="0" w:anchor="P120" w:tooltip="&lt;9&gt; Абзац одиннадцатый пункта 8 Правил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Уровень финансирования творческого проекта за счет средств внебюджетных источников </w:t>
            </w:r>
            <w:hyperlink w:history="0" w:anchor="P121" w:tooltip="&lt;10&gt; Абзац пятый пункта 7 Правил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Показатели результата реализации творческого проекта </w:t>
            </w:r>
            <w:hyperlink w:history="0" w:anchor="P122" w:tooltip="&lt;11&gt; Абзац двенадцатый пункта 8 Правил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информация, включаемая организацией для участия в конкурсе, в соответствии с критериями анализа и оценки заявок организаций, определенными </w:t>
            </w:r>
            <w:hyperlink w:history="0" r:id="rId10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Правил </w:t>
            </w:r>
            <w:hyperlink w:history="0" w:anchor="P123" w:tooltip="&lt;12&gt; Абзац тринадцатый пункта 8 Правил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 (по желанию)</w:t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510"/>
        <w:gridCol w:w="6948"/>
      </w:tblGrid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учредительных документов организации в 1 экз. на ___ л.</w:t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подтверждающий полномочия руководителя организации на осуществление действий от имени организации (в случае если от имени организации действует не руководитель, а иное лицо, к заявке организации также прилагается доверенность на осуществление действий от имени организации, заверенная в установленном порядке) </w:t>
            </w:r>
            <w:hyperlink w:history="0" w:anchor="P124" w:tooltip="&lt;13&gt; Абзац четвертый пункта 8 Правил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, в 1 экз. на ___ л.</w:t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Письменное согласие исполнительного органа субъекта Российской Федерации (органа местного управления), осуществляющего функции и полномочия учредителя организации, на участие организации в конкурсном отборе с указанием объемов финансирования творческого проекта за счет средств соответствующего бюджета (при наличии финансирования) (для бюджетных и автономных учреждений) </w:t>
            </w:r>
            <w:hyperlink w:history="0" w:anchor="P125" w:tooltip="&lt;14&gt; Абзац третий пункта 8 Правил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 в 1 экз. на ___ л.</w:t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Документы, отражающие финансово-хозяйственную и творческую деятельность организации </w:t>
            </w:r>
            <w:hyperlink w:history="0" w:anchor="P126" w:tooltip="&lt;15&gt; Абзац пятый пункта 8 Правил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, в 1 экз. на ___ л.</w:t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Поэтапный план реализации творческого проекта </w:t>
            </w:r>
            <w:hyperlink w:history="0" w:anchor="P127" w:tooltip="&lt;16&gt; Абзац десятый пункта 8 Правил.">
              <w:r>
                <w:rPr>
                  <w:sz w:val="20"/>
                  <w:color w:val="0000ff"/>
                </w:rPr>
                <w:t xml:space="preserve">&lt;16&gt;</w:t>
              </w:r>
            </w:hyperlink>
            <w:r>
              <w:rPr>
                <w:sz w:val="20"/>
              </w:rPr>
              <w:t xml:space="preserve"> в 1 экз. на ___ л.</w:t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на реализацию творческого проекта с обоснованием размера указанных затрат в 1 экз. на ___ л.</w:t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документы, включаемые в состав заявки для участия в конкурсе, в соответствии с критериями анализа и оценки заявок организаций, определенными </w:t>
            </w:r>
            <w:hyperlink w:history="0" r:id="rId11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Правил </w:t>
            </w:r>
            <w:hyperlink w:history="0" w:anchor="P128" w:tooltip="&lt;17&gt; Абзац тринадцатый пункта 8 Правил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, (по желанию) в 1 экз. на ___ л.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второй пункта 7</w:t>
        </w:r>
      </w:hyperlink>
      <w:r>
        <w:rPr>
          <w:sz w:val="20"/>
        </w:rPr>
        <w:t xml:space="preserve">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проектов, утвержденных постановлением Правительства Российской Федерации от 31 декабря 2016 г. N 1579 (далее - Правила).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третий пункта 7</w:t>
        </w:r>
      </w:hyperlink>
      <w:r>
        <w:rPr>
          <w:sz w:val="20"/>
        </w:rPr>
        <w:t xml:space="preserve"> Правил.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шестой пункта 8</w:t>
        </w:r>
      </w:hyperlink>
      <w:r>
        <w:rPr>
          <w:sz w:val="20"/>
        </w:rPr>
        <w:t xml:space="preserve"> Правил.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девятый пункта 8</w:t>
        </w:r>
      </w:hyperlink>
      <w:r>
        <w:rPr>
          <w:sz w:val="20"/>
        </w:rPr>
        <w:t xml:space="preserve"> Правил.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четвертый пункта 7</w:t>
        </w:r>
      </w:hyperlink>
      <w:r>
        <w:rPr>
          <w:sz w:val="20"/>
        </w:rPr>
        <w:t xml:space="preserve"> Правил.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седьмой пункта 8</w:t>
        </w:r>
      </w:hyperlink>
      <w:r>
        <w:rPr>
          <w:sz w:val="20"/>
        </w:rPr>
        <w:t xml:space="preserve"> Правил.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8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восьмой пункта 8</w:t>
        </w:r>
      </w:hyperlink>
      <w:r>
        <w:rPr>
          <w:sz w:val="20"/>
        </w:rPr>
        <w:t xml:space="preserve"> Правил.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9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шестой пункта 7</w:t>
        </w:r>
      </w:hyperlink>
      <w:r>
        <w:rPr>
          <w:sz w:val="20"/>
        </w:rPr>
        <w:t xml:space="preserve"> Правил.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0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одиннадцатый пункта 8</w:t>
        </w:r>
      </w:hyperlink>
      <w:r>
        <w:rPr>
          <w:sz w:val="20"/>
        </w:rPr>
        <w:t xml:space="preserve"> Правил.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1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пятый пункта 7</w:t>
        </w:r>
      </w:hyperlink>
      <w:r>
        <w:rPr>
          <w:sz w:val="20"/>
        </w:rPr>
        <w:t xml:space="preserve"> Правил.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2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двенадцатый пункта 8</w:t>
        </w:r>
      </w:hyperlink>
      <w:r>
        <w:rPr>
          <w:sz w:val="20"/>
        </w:rPr>
        <w:t xml:space="preserve"> Правил.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3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тринадцатый пункта 8</w:t>
        </w:r>
      </w:hyperlink>
      <w:r>
        <w:rPr>
          <w:sz w:val="20"/>
        </w:rPr>
        <w:t xml:space="preserve"> Правил.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4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четвертый пункта 8</w:t>
        </w:r>
      </w:hyperlink>
      <w:r>
        <w:rPr>
          <w:sz w:val="20"/>
        </w:rPr>
        <w:t xml:space="preserve"> Правил.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5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третий пункта 8</w:t>
        </w:r>
      </w:hyperlink>
      <w:r>
        <w:rPr>
          <w:sz w:val="20"/>
        </w:rPr>
        <w:t xml:space="preserve"> Правил.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6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пятый пункта 8</w:t>
        </w:r>
      </w:hyperlink>
      <w:r>
        <w:rPr>
          <w:sz w:val="20"/>
        </w:rPr>
        <w:t xml:space="preserve"> Правил.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27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десятый пункта 8</w:t>
        </w:r>
      </w:hyperlink>
      <w:r>
        <w:rPr>
          <w:sz w:val="20"/>
        </w:rPr>
        <w:t xml:space="preserve"> Правил.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28" w:tooltip="Постановление Правительства РФ от 31.12.2016 N 1579 (ред. от 18.01.2023) &quot;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&quot; {КонсультантПлюс}">
        <w:r>
          <w:rPr>
            <w:sz w:val="20"/>
            <w:color w:val="0000ff"/>
          </w:rPr>
          <w:t xml:space="preserve">Абзац тринадцатый пункта 8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04.10.2023 N 2812</w:t>
            <w:br/>
            <w:t>"Об утверждении формы заявки некоммерческих организаций на предоставление...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891&amp;dst=118" TargetMode = "External"/>
	<Relationship Id="rId8" Type="http://schemas.openxmlformats.org/officeDocument/2006/relationships/hyperlink" Target="https://login.consultant.ru/link/?req=doc&amp;base=LAW&amp;n=221592" TargetMode = "External"/>
	<Relationship Id="rId9" Type="http://schemas.openxmlformats.org/officeDocument/2006/relationships/hyperlink" Target="https://login.consultant.ru/link/?req=doc&amp;base=LAW&amp;n=437891&amp;dst=123" TargetMode = "External"/>
	<Relationship Id="rId10" Type="http://schemas.openxmlformats.org/officeDocument/2006/relationships/hyperlink" Target="https://login.consultant.ru/link/?req=doc&amp;base=LAW&amp;n=437891&amp;dst=24" TargetMode = "External"/>
	<Relationship Id="rId11" Type="http://schemas.openxmlformats.org/officeDocument/2006/relationships/hyperlink" Target="https://login.consultant.ru/link/?req=doc&amp;base=LAW&amp;n=437891&amp;dst=24" TargetMode = "External"/>
	<Relationship Id="rId12" Type="http://schemas.openxmlformats.org/officeDocument/2006/relationships/hyperlink" Target="https://login.consultant.ru/link/?req=doc&amp;base=LAW&amp;n=437891&amp;dst=25" TargetMode = "External"/>
	<Relationship Id="rId13" Type="http://schemas.openxmlformats.org/officeDocument/2006/relationships/hyperlink" Target="https://login.consultant.ru/link/?req=doc&amp;base=LAW&amp;n=437891&amp;dst=26" TargetMode = "External"/>
	<Relationship Id="rId14" Type="http://schemas.openxmlformats.org/officeDocument/2006/relationships/hyperlink" Target="https://login.consultant.ru/link/?req=doc&amp;base=LAW&amp;n=437891&amp;dst=38" TargetMode = "External"/>
	<Relationship Id="rId15" Type="http://schemas.openxmlformats.org/officeDocument/2006/relationships/hyperlink" Target="https://login.consultant.ru/link/?req=doc&amp;base=LAW&amp;n=437891&amp;dst=41" TargetMode = "External"/>
	<Relationship Id="rId16" Type="http://schemas.openxmlformats.org/officeDocument/2006/relationships/hyperlink" Target="https://login.consultant.ru/link/?req=doc&amp;base=LAW&amp;n=437891&amp;dst=27" TargetMode = "External"/>
	<Relationship Id="rId17" Type="http://schemas.openxmlformats.org/officeDocument/2006/relationships/hyperlink" Target="https://login.consultant.ru/link/?req=doc&amp;base=LAW&amp;n=437891&amp;dst=39" TargetMode = "External"/>
	<Relationship Id="rId18" Type="http://schemas.openxmlformats.org/officeDocument/2006/relationships/hyperlink" Target="https://login.consultant.ru/link/?req=doc&amp;base=LAW&amp;n=437891&amp;dst=40" TargetMode = "External"/>
	<Relationship Id="rId19" Type="http://schemas.openxmlformats.org/officeDocument/2006/relationships/hyperlink" Target="https://login.consultant.ru/link/?req=doc&amp;base=LAW&amp;n=437891&amp;dst=29" TargetMode = "External"/>
	<Relationship Id="rId20" Type="http://schemas.openxmlformats.org/officeDocument/2006/relationships/hyperlink" Target="https://login.consultant.ru/link/?req=doc&amp;base=LAW&amp;n=437891&amp;dst=43" TargetMode = "External"/>
	<Relationship Id="rId21" Type="http://schemas.openxmlformats.org/officeDocument/2006/relationships/hyperlink" Target="https://login.consultant.ru/link/?req=doc&amp;base=LAW&amp;n=437891&amp;dst=28" TargetMode = "External"/>
	<Relationship Id="rId22" Type="http://schemas.openxmlformats.org/officeDocument/2006/relationships/hyperlink" Target="https://login.consultant.ru/link/?req=doc&amp;base=LAW&amp;n=437891&amp;dst=44" TargetMode = "External"/>
	<Relationship Id="rId23" Type="http://schemas.openxmlformats.org/officeDocument/2006/relationships/hyperlink" Target="https://login.consultant.ru/link/?req=doc&amp;base=LAW&amp;n=437891&amp;dst=45" TargetMode = "External"/>
	<Relationship Id="rId24" Type="http://schemas.openxmlformats.org/officeDocument/2006/relationships/hyperlink" Target="https://login.consultant.ru/link/?req=doc&amp;base=LAW&amp;n=437891&amp;dst=36" TargetMode = "External"/>
	<Relationship Id="rId25" Type="http://schemas.openxmlformats.org/officeDocument/2006/relationships/hyperlink" Target="https://login.consultant.ru/link/?req=doc&amp;base=LAW&amp;n=437891&amp;dst=35" TargetMode = "External"/>
	<Relationship Id="rId26" Type="http://schemas.openxmlformats.org/officeDocument/2006/relationships/hyperlink" Target="https://login.consultant.ru/link/?req=doc&amp;base=LAW&amp;n=437891&amp;dst=37" TargetMode = "External"/>
	<Relationship Id="rId27" Type="http://schemas.openxmlformats.org/officeDocument/2006/relationships/hyperlink" Target="https://login.consultant.ru/link/?req=doc&amp;base=LAW&amp;n=437891&amp;dst=42" TargetMode = "External"/>
	<Relationship Id="rId28" Type="http://schemas.openxmlformats.org/officeDocument/2006/relationships/hyperlink" Target="https://login.consultant.ru/link/?req=doc&amp;base=LAW&amp;n=437891&amp;dst=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04.10.2023 N 2812
"Об утверждении формы заявки некоммерческих организаций на предоставление из федерального бюджета грантов в форме субсидий на оказание государственной поддержки независимым театральным и музыкальным коллективам для реализации творческих проектов"
(Зарегистрировано в Минюсте России 15.01.2024 N 76861)</dc:title>
  <dcterms:created xsi:type="dcterms:W3CDTF">2024-06-19T10:43:26Z</dcterms:created>
</cp:coreProperties>
</file>