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России от 02.07.2020 N 359/пр</w:t>
              <w:br/>
              <w:t xml:space="preserve">(ред. от 26.09.2023)</w:t>
              <w:br/>
              <w:t xml:space="preserve">"Об Общественном совете при Министерстве строительства и жилищно-коммунального хозяйства Российской Федерации"</w:t>
              <w:br/>
              <w:t xml:space="preserve">(вместе с "Положением об Общественном совете при Министерстве строительства и жилищно-коммунального хозяйства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 ХОЗЯЙСТВА</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июля 2020 г. N 359/пр</w:t>
      </w:r>
    </w:p>
    <w:p>
      <w:pPr>
        <w:pStyle w:val="2"/>
        <w:jc w:val="center"/>
      </w:pPr>
      <w:r>
        <w:rPr>
          <w:sz w:val="20"/>
        </w:rPr>
      </w:r>
    </w:p>
    <w:p>
      <w:pPr>
        <w:pStyle w:val="2"/>
        <w:jc w:val="center"/>
      </w:pPr>
      <w:r>
        <w:rPr>
          <w:sz w:val="20"/>
        </w:rPr>
        <w:t xml:space="preserve">ОБ ОБЩЕСТВЕННОМ СОВЕТЕ</w:t>
      </w:r>
    </w:p>
    <w:p>
      <w:pPr>
        <w:pStyle w:val="2"/>
        <w:jc w:val="center"/>
      </w:pPr>
      <w:r>
        <w:rPr>
          <w:sz w:val="20"/>
        </w:rPr>
        <w:t xml:space="preserve">ПРИ МИНИСТЕРСТВЕ СТРОИТЕЛЬСТВА И ЖИЛИЩНО-КОММУНАЛЬНОГО</w:t>
      </w:r>
    </w:p>
    <w:p>
      <w:pPr>
        <w:pStyle w:val="2"/>
        <w:jc w:val="center"/>
      </w:pPr>
      <w:r>
        <w:rPr>
          <w:sz w:val="20"/>
        </w:rPr>
        <w:t xml:space="preserve">ХОЗЯЙСТВА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27.10.2021 </w:t>
            </w:r>
            <w:hyperlink w:history="0" r:id="rId7" w:tooltip="&quot;Выписка из приказа Минстроя России от 27 октября 2021 года N 791/пр &quot;О внесении изменений в некоторые акты Министерства строительства и жилищно-коммунального хозяйства Российской Федерации&quot; (утв. Минстроем России) {КонсультантПлюс}">
              <w:r>
                <w:rPr>
                  <w:sz w:val="20"/>
                  <w:color w:val="0000ff"/>
                </w:rPr>
                <w:t xml:space="preserve">N 791/пр</w:t>
              </w:r>
            </w:hyperlink>
            <w:r>
              <w:rPr>
                <w:sz w:val="20"/>
                <w:color w:val="392c69"/>
              </w:rPr>
              <w:t xml:space="preserve">,</w:t>
            </w:r>
          </w:p>
          <w:p>
            <w:pPr>
              <w:pStyle w:val="0"/>
              <w:jc w:val="center"/>
            </w:pPr>
            <w:r>
              <w:rPr>
                <w:sz w:val="20"/>
                <w:color w:val="392c69"/>
              </w:rPr>
              <w:t xml:space="preserve">от 13.10.2022 </w:t>
            </w:r>
            <w:hyperlink w:history="0" r:id="rId8" w:tooltip="Приказ Минстроя России от 13.10.2022 N 846/пр &quot;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2 июля 2020 г. N 359/пр&quot; ------------ Утратил силу или отменен {КонсультантПлюс}">
              <w:r>
                <w:rPr>
                  <w:sz w:val="20"/>
                  <w:color w:val="0000ff"/>
                </w:rPr>
                <w:t xml:space="preserve">N 846/пр</w:t>
              </w:r>
            </w:hyperlink>
            <w:r>
              <w:rPr>
                <w:sz w:val="20"/>
                <w:color w:val="392c69"/>
              </w:rPr>
              <w:t xml:space="preserve">, от 26.09.2023 N 694/пр)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приказываю:</w:t>
      </w:r>
    </w:p>
    <w:p>
      <w:pPr>
        <w:pStyle w:val="0"/>
        <w:spacing w:before="200" w:line-rule="auto"/>
        <w:ind w:firstLine="540"/>
        <w:jc w:val="both"/>
      </w:pPr>
      <w:r>
        <w:rPr>
          <w:sz w:val="20"/>
        </w:rPr>
        <w:t xml:space="preserve">1. Утратил силу. - Приказ Минстроя России от 26.09.2023 N 694/пр.</w:t>
      </w:r>
    </w:p>
    <w:p>
      <w:pPr>
        <w:pStyle w:val="0"/>
        <w:spacing w:before="200" w:line-rule="auto"/>
        <w:ind w:firstLine="540"/>
        <w:jc w:val="both"/>
      </w:pPr>
      <w:r>
        <w:rPr>
          <w:sz w:val="20"/>
        </w:rPr>
        <w:t xml:space="preserve">2. Утвердить Положение об Общественном совете при Министерстве строительства и жилищно-коммунального хозяйства Российской Федерации согласно </w:t>
      </w:r>
      <w:hyperlink w:history="0" w:anchor="P60" w:tooltip="ПОЛОЖЕНИЕ">
        <w:r>
          <w:rPr>
            <w:sz w:val="20"/>
            <w:color w:val="0000ff"/>
          </w:rPr>
          <w:t xml:space="preserve">приложению N 2</w:t>
        </w:r>
      </w:hyperlink>
      <w:r>
        <w:rPr>
          <w:sz w:val="20"/>
        </w:rPr>
        <w:t xml:space="preserve"> к настоящему приказу (далее - Общественный совет).</w:t>
      </w:r>
    </w:p>
    <w:p>
      <w:pPr>
        <w:pStyle w:val="0"/>
        <w:spacing w:before="200" w:line-rule="auto"/>
        <w:ind w:firstLine="540"/>
        <w:jc w:val="both"/>
      </w:pPr>
      <w:r>
        <w:rPr>
          <w:sz w:val="20"/>
        </w:rPr>
        <w:t xml:space="preserve">3. Утратил силу. - Приказ Минстроя России от 26.09.2023 N 694/пр.</w:t>
      </w:r>
    </w:p>
    <w:p>
      <w:pPr>
        <w:pStyle w:val="0"/>
        <w:spacing w:before="200" w:line-rule="auto"/>
        <w:ind w:firstLine="540"/>
        <w:jc w:val="both"/>
      </w:pPr>
      <w:r>
        <w:rPr>
          <w:sz w:val="20"/>
        </w:rPr>
        <w:t xml:space="preserve">4. Организационное и материально-техническое обеспечение деятельности Общественного совета возложить на Административный департамент.</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10" w:tooltip="Приказ Минстроя России от 16.04.2014 N 191/пр (ред. от 28.05.2015, с изм. от 23.03.2017) &quot;О создании Общественного совета при Министерстве строительства и жилищно-коммунального хозяйства Российской Федерации&quot; ------------ Недействующая редакция {КонсультантПлюс}">
        <w:r>
          <w:rPr>
            <w:sz w:val="20"/>
            <w:color w:val="0000ff"/>
          </w:rPr>
          <w:t xml:space="preserve">пункты 3</w:t>
        </w:r>
      </w:hyperlink>
      <w:r>
        <w:rPr>
          <w:sz w:val="20"/>
        </w:rPr>
        <w:t xml:space="preserve"> - </w:t>
      </w:r>
      <w:hyperlink w:history="0" r:id="rId11" w:tooltip="Приказ Минстроя России от 16.04.2014 N 191/пр (ред. от 28.05.2015, с изм. от 23.03.2017) &quot;О создании Общественного совета при Министерстве строительства и жилищно-коммунального хозяйства Российской Федерации&quot; ------------ Недействующая редакция {КонсультантПлюс}">
        <w:r>
          <w:rPr>
            <w:sz w:val="20"/>
            <w:color w:val="0000ff"/>
          </w:rPr>
          <w:t xml:space="preserve">5</w:t>
        </w:r>
      </w:hyperlink>
      <w:r>
        <w:rPr>
          <w:sz w:val="20"/>
        </w:rPr>
        <w:t xml:space="preserve"> приказа Министерства строительства и жилищно-коммунального хозяйства Российской Федерации от 16 апреля 2014 г. N 191/пр "О создании Общественного совета при Министерстве строительства и жилищно-коммунального хозяйства Российской Федерации";</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10 сентября 2014 г. N 540/пр "О назначении ответственного секретаря Общественного совета при Министерстве строительства и жилищно-коммунального хозяйства Российской Федерации";</w:t>
      </w:r>
    </w:p>
    <w:p>
      <w:pPr>
        <w:pStyle w:val="0"/>
        <w:spacing w:before="200" w:line-rule="auto"/>
        <w:ind w:firstLine="540"/>
        <w:jc w:val="both"/>
      </w:pPr>
      <w:r>
        <w:rPr>
          <w:sz w:val="20"/>
        </w:rPr>
        <w:t xml:space="preserve">приказ Минстроя России от 17 июня 2015 г. N 436/пр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21 марта 2016 г. N 165/пр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1 декабря 2016 г. N 869/пр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26 января 2017 г. N 45/пр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11 мая 2017 г. N 780/пр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30 октября 2017 г. N 1488/пр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21 марта 2018 г. N 155/пр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25 сентября 2018 г. N 621/пр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приказ Министерства строительства и жилищно-коммунального хозяйства Российской Федерации от 29 октября 2018 г. N 681/пр "О внесении изменений в состав членов Общественного совета при Министерстве строительства и жилищно-коммунального хозяйства Российской Федерации, утвержденный приказом Министерства строительства и жилищно-коммунального хозяйства Российской Федерации от 16 апреля 2014 г. N 191/пр";</w:t>
      </w:r>
    </w:p>
    <w:p>
      <w:pPr>
        <w:pStyle w:val="0"/>
        <w:spacing w:before="200" w:line-rule="auto"/>
        <w:ind w:firstLine="540"/>
        <w:jc w:val="both"/>
      </w:pPr>
      <w:r>
        <w:rPr>
          <w:sz w:val="20"/>
        </w:rPr>
        <w:t xml:space="preserve">пункт 1 приказа Министерства строительства и жилищно-коммунального хозяйства Российской Федерации от 25 февраля 2019 г. N 124/пр "Об Общественном совете при Министерстве строительства и жилищно-коммунального хозяйства Российской Федерации".</w:t>
      </w:r>
    </w:p>
    <w:p>
      <w:pPr>
        <w:pStyle w:val="0"/>
        <w:jc w:val="both"/>
      </w:pPr>
      <w:r>
        <w:rPr>
          <w:sz w:val="20"/>
        </w:rPr>
      </w:r>
    </w:p>
    <w:p>
      <w:pPr>
        <w:pStyle w:val="0"/>
        <w:jc w:val="right"/>
      </w:pPr>
      <w:r>
        <w:rPr>
          <w:sz w:val="20"/>
        </w:rPr>
        <w:t xml:space="preserve">Министр</w:t>
      </w:r>
    </w:p>
    <w:p>
      <w:pPr>
        <w:pStyle w:val="0"/>
        <w:jc w:val="right"/>
      </w:pPr>
      <w:r>
        <w:rPr>
          <w:sz w:val="20"/>
        </w:rPr>
        <w:t xml:space="preserve">В.В.ЯКУШЕВ</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 июля 2020 г. N 359/пр</w:t>
      </w:r>
    </w:p>
    <w:p>
      <w:pPr>
        <w:pStyle w:val="0"/>
        <w:jc w:val="both"/>
      </w:pPr>
      <w:r>
        <w:rPr>
          <w:sz w:val="20"/>
        </w:rPr>
      </w:r>
    </w:p>
    <w:p>
      <w:pPr>
        <w:pStyle w:val="2"/>
        <w:jc w:val="center"/>
      </w:pPr>
      <w:r>
        <w:rPr>
          <w:sz w:val="20"/>
        </w:rPr>
        <w:t xml:space="preserve">СОСТАВ</w:t>
      </w:r>
    </w:p>
    <w:p>
      <w:pPr>
        <w:pStyle w:val="2"/>
        <w:jc w:val="center"/>
      </w:pPr>
      <w:r>
        <w:rPr>
          <w:sz w:val="20"/>
        </w:rPr>
        <w:t xml:space="preserve">ЧЛЕНОВ ОБЩЕСТВЕННОГО СОВЕТА ПРИ МИНИСТЕРСТВЕ СТРОИТЕЛЬСТВА</w:t>
      </w:r>
    </w:p>
    <w:p>
      <w:pPr>
        <w:pStyle w:val="2"/>
        <w:jc w:val="center"/>
      </w:pPr>
      <w:r>
        <w:rPr>
          <w:sz w:val="20"/>
        </w:rPr>
        <w:t xml:space="preserve">И ЖИЛИЩНО-КОММУНАЛЬНОГО ХОЗЯЙСТВА РОССИЙСКОЙ ФЕДЕРАЦИИ</w:t>
      </w:r>
    </w:p>
    <w:p>
      <w:pPr>
        <w:pStyle w:val="0"/>
        <w:jc w:val="both"/>
      </w:pPr>
      <w:r>
        <w:rPr>
          <w:sz w:val="20"/>
        </w:rPr>
      </w:r>
    </w:p>
    <w:p>
      <w:pPr>
        <w:pStyle w:val="0"/>
        <w:ind w:firstLine="540"/>
        <w:jc w:val="both"/>
      </w:pPr>
      <w:r>
        <w:rPr>
          <w:sz w:val="20"/>
        </w:rPr>
        <w:t xml:space="preserve">Утратил силу. - Приказ Минстроя России от 26.09.2023 N 694/пр.</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 июля 2020 г. N 359/пр</w:t>
      </w:r>
    </w:p>
    <w:p>
      <w:pPr>
        <w:pStyle w:val="0"/>
        <w:jc w:val="both"/>
      </w:pPr>
      <w:r>
        <w:rPr>
          <w:sz w:val="20"/>
        </w:rPr>
      </w:r>
    </w:p>
    <w:bookmarkStart w:id="60" w:name="P60"/>
    <w:bookmarkEnd w:id="60"/>
    <w:p>
      <w:pPr>
        <w:pStyle w:val="2"/>
        <w:jc w:val="center"/>
      </w:pPr>
      <w:r>
        <w:rPr>
          <w:sz w:val="20"/>
        </w:rPr>
        <w:t xml:space="preserve">ПОЛОЖЕНИЕ</w:t>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И ЖИЛИЩНО-КОММУНАЛЬНОГО ХОЗЯЙСТВА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quot;Выписка из приказа Минстроя России от 27 октября 2021 года N 791/пр &quot;О внесении изменений в некоторые акты Министерства строительства и жилищно-коммунального хозяйства Российской Федерации&quot; (утв. Минстроем России) {КонсультантПлюс}">
              <w:r>
                <w:rPr>
                  <w:sz w:val="20"/>
                  <w:color w:val="0000ff"/>
                </w:rPr>
                <w:t xml:space="preserve">Приказа</w:t>
              </w:r>
            </w:hyperlink>
            <w:r>
              <w:rPr>
                <w:sz w:val="20"/>
                <w:color w:val="392c69"/>
              </w:rPr>
              <w:t xml:space="preserve"> Минстроя России от 27.10.2021 N 791/пр)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строительства и жилищно-коммунального хозяйства Российской Федерации (далее - Положение) определяет компетенцию, порядок деятельности и формирования общественного совета при Министерстве строительства и жилищно-коммунального хозяйства Российской Федерации (далее - Общественный совет), порядок взаимодействия Министерства строительства и жилищно-коммунального хозяйства Российской Федерации (далее - Министерство)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2.2.2.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Министерства;</w:t>
      </w:r>
    </w:p>
    <w:p>
      <w:pPr>
        <w:pStyle w:val="0"/>
        <w:spacing w:before="200" w:line-rule="auto"/>
        <w:ind w:firstLine="540"/>
        <w:jc w:val="both"/>
      </w:pPr>
      <w:r>
        <w:rPr>
          <w:sz w:val="20"/>
        </w:rPr>
        <w:t xml:space="preserve">2.3.3. участвовать в публичном обсуждении концепции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ведомственных планов по реализации Концепции открытости;</w:t>
      </w:r>
    </w:p>
    <w:p>
      <w:pPr>
        <w:pStyle w:val="0"/>
        <w:spacing w:before="200" w:line-rule="auto"/>
        <w:ind w:firstLine="540"/>
        <w:jc w:val="both"/>
      </w:pPr>
      <w:r>
        <w:rPr>
          <w:sz w:val="20"/>
        </w:rPr>
        <w:t xml:space="preserve">-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Министерства и (или) публичного плана деятельности Министерства,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pPr>
        <w:pStyle w:val="0"/>
        <w:spacing w:before="200" w:line-rule="auto"/>
        <w:ind w:firstLine="540"/>
        <w:jc w:val="both"/>
      </w:pPr>
      <w:r>
        <w:rPr>
          <w:sz w:val="20"/>
        </w:rPr>
        <w:t xml:space="preserve">- 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Министерства.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представителей федеральных органов исполнительной власти,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строительства и жилищно-коммунального хозяйства Российской Федерации государственные гражданские служащие, представители общественных объединений и иных организаций, а также Президиум Общественного совета, состоящий из Председателя Общественного совета, его заместителей и руководителей комиссий Общественного совета;</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Министром строительства и жилищно-коммунального хозяйства Российской Федерации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7"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36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Министром строительства и жилищно-коммунального хозяйства Российской Федерации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32"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Министра строительства и жилищно-коммунального хозяйства Российской Федерации.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Министру строительства и жилищно-коммунального хозяйства Российской Федерации. Министерство не позднее одного месяца со дня получения предложения совета Общественной палаты направляет в Общественную палату акт Министерства о созыве Общественного совета, а также согласованные в установленном порядке положение об Общественном совете и специфические требования.</w:t>
      </w:r>
    </w:p>
    <w:bookmarkStart w:id="124" w:name="P124"/>
    <w:bookmarkEnd w:id="124"/>
    <w:p>
      <w:pPr>
        <w:pStyle w:val="0"/>
        <w:spacing w:before="200" w:line-rule="auto"/>
        <w:ind w:firstLine="540"/>
        <w:jc w:val="both"/>
      </w:pPr>
      <w:r>
        <w:rPr>
          <w:sz w:val="20"/>
        </w:rPr>
        <w:t xml:space="preserve">3.9. Проект положения разрабатывается Министерством на основании </w:t>
      </w:r>
      <w:hyperlink w:history="0" r:id="rId18"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 и представляется на согласование в Общественную палату. Общественная палата согласовывает представленный проект или направляет в Министерство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Министерства.</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124" w:tooltip="3.9. Проект положения разрабатывается Министерством на основании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 и представляется на согласование в Общественную палату. Общественная палата согласовывает представленный проект или направляет в Министерство для доработки с мотивированными замечаниями. В случае согласования проекта положения Обществе...">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Министерством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Министр строительства и жилищно-коммунального хозяйства Российской Федерации вправе выступить с инициативой о создании Общественного совета. В таком случае не позднее тридцати дней с момента издания акта Министерства о созыве Общественного совета Министр строительства и жилищно-коммунального хозяйства Российской Федерации направляет в Общественную палату названный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Министерства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32" w:name="P132"/>
    <w:bookmarkEnd w:id="132"/>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Министерства;</w:t>
      </w:r>
    </w:p>
    <w:p>
      <w:pPr>
        <w:pStyle w:val="0"/>
        <w:spacing w:before="200" w:line-rule="auto"/>
        <w:ind w:firstLine="540"/>
        <w:jc w:val="both"/>
      </w:pPr>
      <w:r>
        <w:rPr>
          <w:sz w:val="20"/>
        </w:rPr>
        <w:t xml:space="preserve">д) осуществлять деятельность в сфере полномочий Министерства.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Министерства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Министром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выдвигающихся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Министра строительства и жилищно-коммунального хозяйства Российской Федерации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Министру строительства и жилищно-коммунального хозяйства Российской Федерации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3.23. Утверждение Министром строительства и жилищно-коммунального хозяйства Российской Федерации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Министерство. В тот же срок Министр строительства и жилищно-коммунального хозяйства Российской Федерации определяет ответственного секретаря Общественного совета.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Министром строительства и жилищно-коммунального хозяйства Российской Федерации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Министром строительства и жилищно-коммунального хозяйства Российской Федерации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72"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72" w:name="P172"/>
    <w:bookmarkEnd w:id="172"/>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jc w:val="both"/>
      </w:pPr>
      <w:r>
        <w:rPr>
          <w:sz w:val="20"/>
        </w:rPr>
        <w:t xml:space="preserve">(в ред. </w:t>
      </w:r>
      <w:hyperlink w:history="0" r:id="rId22" w:tooltip="&quot;Выписка из приказа Минстроя России от 27 октября 2021 года N 791/пр &quot;О внесении изменений в некоторые акты Министерства строительства и жилищно-коммунального хозяйства Российской Федерации&quot; (утв. Минстроем России) {КонсультантПлюс}">
        <w:r>
          <w:rPr>
            <w:sz w:val="20"/>
            <w:color w:val="0000ff"/>
          </w:rPr>
          <w:t xml:space="preserve">Приказа</w:t>
        </w:r>
      </w:hyperlink>
      <w:r>
        <w:rPr>
          <w:sz w:val="20"/>
        </w:rPr>
        <w:t xml:space="preserve"> Минстроя России от 27.10.2021 N 791/пр)</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79" w:name="P179"/>
    <w:bookmarkEnd w:id="179"/>
    <w:p>
      <w:pPr>
        <w:pStyle w:val="0"/>
        <w:spacing w:before="200" w:line-rule="auto"/>
        <w:ind w:firstLine="540"/>
        <w:jc w:val="both"/>
      </w:pPr>
      <w:r>
        <w:rPr>
          <w:sz w:val="20"/>
        </w:rPr>
        <w:t xml:space="preserve">6) грубого нарушения Кодекса этики члена Общественного совета, а также неоднократного (2 и более) пропуска заседаний Общественного совета, заседаний Президиума Общественного совета, заседаний комиссий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bookmarkStart w:id="182" w:name="P182"/>
    <w:bookmarkEnd w:id="182"/>
    <w:p>
      <w:pPr>
        <w:pStyle w:val="0"/>
        <w:spacing w:before="200" w:line-rule="auto"/>
        <w:ind w:firstLine="540"/>
        <w:jc w:val="both"/>
      </w:pPr>
      <w:r>
        <w:rPr>
          <w:sz w:val="20"/>
        </w:rPr>
        <w:t xml:space="preserve">9) в случаях, предусмотренных </w:t>
      </w:r>
      <w:hyperlink w:history="0" w:anchor="P265" w:tooltip="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w:r>
          <w:rPr>
            <w:sz w:val="20"/>
            <w:color w:val="0000ff"/>
          </w:rPr>
          <w:t xml:space="preserve">пунктом 5.5</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3.28. Вопрос об исключении члена Общественного совета инициируется решением Общественного совета.</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основаниям, указанным в </w:t>
      </w:r>
      <w:hyperlink w:history="0" w:anchor="P179" w:tooltip="6) грубого нарушения Кодекса этики члена Общественного совета, а также неоднократного (2 и более) пропуска заседаний Общественного совета, заседаний Президиума Общественного совета, заседаний комиссий Общественного совета;">
        <w:r>
          <w:rPr>
            <w:sz w:val="20"/>
            <w:color w:val="0000ff"/>
          </w:rPr>
          <w:t xml:space="preserve">подпунктах 6</w:t>
        </w:r>
      </w:hyperlink>
      <w:r>
        <w:rPr>
          <w:sz w:val="20"/>
        </w:rPr>
        <w:t xml:space="preserve">), </w:t>
      </w:r>
      <w:hyperlink w:history="0" w:anchor="P182" w:tooltip="9) в случаях, предусмотренных пунктом 5.5. настоящего Положения;">
        <w:r>
          <w:rPr>
            <w:sz w:val="20"/>
            <w:color w:val="0000ff"/>
          </w:rPr>
          <w:t xml:space="preserve">9) пункта 3.27</w:t>
        </w:r>
      </w:hyperlink>
      <w:r>
        <w:rPr>
          <w:sz w:val="20"/>
        </w:rPr>
        <w:t xml:space="preserve">. настоящего Положения, направляются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Министерства.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Министерства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Министерства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Министру строительства и жилищно-коммунального хозяйства Российской Федерации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Министерства.</w:t>
      </w:r>
    </w:p>
    <w:bookmarkStart w:id="190" w:name="P190"/>
    <w:bookmarkEnd w:id="190"/>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строительства и жилищно-коммунального хозяйства Российской Федерации. В течение семи рабочих дней со дня поступления такого решения Министр строительства и жилищно-коммунального хозяйства Российской Федерации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3.30.1. Министр строительства и жилищно-коммунального хозяйства Российской Федерации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Министру строительства и жилищно-коммунального хозяйства Российской Федерации в соответствии с </w:t>
      </w:r>
      <w:hyperlink w:history="0" w:anchor="P190"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строительства и жилищно-коммунального хозяйства Российской Федерации. В течение семи рабочих дней со дня поступления такого решения Министр строительства и жилищно-коммунального хозяйства Российской Федерации власти принимает решение о прекращении полномочий членов Общественного совета, признанного неэффекти...">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Министра строительства и жилищно-коммунального хозяйства Российской Федерации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Министром строительства и жилищно-коммунального хозяйства Российской Федерации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Министру строительства и жилищно-коммунального хозяйства Российской Федерации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Общественного совета уведомляются соответствующим образом.</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 взаимодействует с Министром строительства и жилищно-коммунального хозяйства Российской Федерации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Министром строительства и жилищно-коммунального хозяйства Российской Федерации, в приеме граждан, осуществляемом должностными лицами Министерства;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Министерства.</w:t>
      </w:r>
    </w:p>
    <w:p>
      <w:pPr>
        <w:pStyle w:val="0"/>
        <w:spacing w:before="200" w:line-rule="auto"/>
        <w:ind w:firstLine="540"/>
        <w:jc w:val="both"/>
      </w:pPr>
      <w:r>
        <w:rPr>
          <w:sz w:val="20"/>
        </w:rPr>
        <w:t xml:space="preserve">4.14.1. Ответственный секретарь Общественного совета формирует секретариат Общественного совета по согласованию с Председателем Общественного совета, распределяет обязанности между сотрудниками секретариата и дает им поручения в рамках деятельности секретариата. Состав секретариата Общественного совета утверждается Председателем Общественного совета.</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и принимает на основе типового кодекса этики Кодекс этики членов Общественного совета и направляет Министерству.</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spacing w:before="200" w:line-rule="auto"/>
        <w:ind w:firstLine="540"/>
        <w:jc w:val="both"/>
      </w:pPr>
      <w:r>
        <w:rPr>
          <w:sz w:val="20"/>
        </w:rPr>
        <w:t xml:space="preserve">4.20. Отдельные вопросы деятельности Общественного совета и внутренней организации его работы конкретизируются в </w:t>
      </w:r>
      <w:hyperlink w:history="0" r:id="rId23" w:tooltip="&quot;Регламент Общественного совета при Министерстве строительства и жилищно-коммунального хозяйства Российской Федерации&quot; (утв. Минстроем России) {КонсультантПлюс}">
        <w:r>
          <w:rPr>
            <w:sz w:val="20"/>
            <w:color w:val="0000ff"/>
          </w:rPr>
          <w:t xml:space="preserve">Регламенте</w:t>
        </w:r>
      </w:hyperlink>
      <w:r>
        <w:rPr>
          <w:sz w:val="20"/>
        </w:rPr>
        <w:t xml:space="preserve"> работы Общественного совета, который утверждается Общественным советом по согласованию с Общественной палатой Российской Федерации.</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строительства и жилищно-коммунального хозяйства Российской Федерации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bookmarkStart w:id="265" w:name="P265"/>
    <w:bookmarkEnd w:id="265"/>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в целях недопущения участия членов общественного совета в коррупционной деятельности и принятия мер по минимизации коррупциогенных рисков в деятельности совета.</w:t>
      </w:r>
    </w:p>
    <w:p>
      <w:pPr>
        <w:pStyle w:val="0"/>
        <w:spacing w:before="200" w:line-rule="auto"/>
        <w:ind w:firstLine="540"/>
        <w:jc w:val="both"/>
      </w:pPr>
      <w:r>
        <w:rPr>
          <w:sz w:val="20"/>
        </w:rPr>
        <w:t xml:space="preserve">Председатель общественного совета или Общественная палата, которым стало известно о факте участия члена общественного совета в коррупционной деятельности, принимают меры по предотвращению или прекращению участия лица в работе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02.07.2020 N 359/пр</w:t>
            <w:br/>
            <w:t>(ред. от 26.09.2023)</w:t>
            <w:br/>
            <w:t>"Об Общественном совете при Министерстве строительств...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75F08CD636C9B4655CE32245E4E20AA8451820656AB1EA5944C38BAE655CDDAE2A8CA7D5732EEE067A8C709A6F4B0EB6C29E6B09473AE1a5b2M" TargetMode = "External"/>
	<Relationship Id="rId8" Type="http://schemas.openxmlformats.org/officeDocument/2006/relationships/hyperlink" Target="consultantplus://offline/ref=4475F08CD636C9B4655CE32245E4E20AA8421C216161B1EA5944C38BAE655CDDAE2A8CA7D5732EEE077A8C709A6F4B0EB6C29E6B09473AE1a5b2M" TargetMode = "External"/>
	<Relationship Id="rId9" Type="http://schemas.openxmlformats.org/officeDocument/2006/relationships/hyperlink" Target="consultantplus://offline/ref=4475F08CD636C9B4655CE32245E4E20AAF431A25626AB1EA5944C38BAE655CDDAE2A8CA7D5732EEC037A8C709A6F4B0EB6C29E6B09473AE1a5b2M" TargetMode = "External"/>
	<Relationship Id="rId10" Type="http://schemas.openxmlformats.org/officeDocument/2006/relationships/hyperlink" Target="consultantplus://offline/ref=4475F08CD636C9B4655CE32245E4E20AAE431823626AB1EA5944C38BAE655CDDAE2A8CA7D5732EEE057A8C709A6F4B0EB6C29E6B09473AE1a5b2M" TargetMode = "External"/>
	<Relationship Id="rId11" Type="http://schemas.openxmlformats.org/officeDocument/2006/relationships/hyperlink" Target="consultantplus://offline/ref=4475F08CD636C9B4655CE32245E4E20AAE431823626AB1EA5944C38BAE655CDDAE2A8CA7D5732EEE0B7A8C709A6F4B0EB6C29E6B09473AE1a5b2M" TargetMode = "External"/>
	<Relationship Id="rId12" Type="http://schemas.openxmlformats.org/officeDocument/2006/relationships/hyperlink" Target="consultantplus://offline/ref=4475F08CD636C9B4655CE32245E4E20AA8451820656AB1EA5944C38BAE655CDDAE2A8CA7D5732EEE067A8C709A6F4B0EB6C29E6B09473AE1a5b2M" TargetMode = "External"/>
	<Relationship Id="rId13" Type="http://schemas.openxmlformats.org/officeDocument/2006/relationships/hyperlink" Target="consultantplus://offline/ref=4475F08CD636C9B4655CE32245E4E20AAE491A276C3FE6E80811CD8EA63506CDB86380A7CB722FF00071DAa2b2M" TargetMode = "External"/>
	<Relationship Id="rId14" Type="http://schemas.openxmlformats.org/officeDocument/2006/relationships/hyperlink" Target="consultantplus://offline/ref=4475F08CD636C9B4655CE32245E4E20AAF40192A646FB1EA5944C38BAE655CDDBC2AD4ABD47230EF036FDA21DCa3b9M" TargetMode = "External"/>
	<Relationship Id="rId15" Type="http://schemas.openxmlformats.org/officeDocument/2006/relationships/hyperlink" Target="consultantplus://offline/ref=4475F08CD636C9B4655CE32245E4E20AAF40192A646FB1EA5944C38BAE655CDDBC2AD4ABD47230EF036FDA21DCa3b9M" TargetMode = "External"/>
	<Relationship Id="rId16" Type="http://schemas.openxmlformats.org/officeDocument/2006/relationships/hyperlink" Target="consultantplus://offline/ref=4475F08CD636C9B4655CE32245E4E20AA84514246468B1EA5944C38BAE655CDDBC2AD4ABD47230EF036FDA21DCa3b9M" TargetMode = "External"/>
	<Relationship Id="rId17" Type="http://schemas.openxmlformats.org/officeDocument/2006/relationships/hyperlink" Target="consultantplus://offline/ref=4475F08CD636C9B4655CE32245E4E20AAF431A25626AB1EA5944C38BAE655CDDBC2AD4ABD47230EF036FDA21DCa3b9M" TargetMode = "External"/>
	<Relationship Id="rId18" Type="http://schemas.openxmlformats.org/officeDocument/2006/relationships/hyperlink" Target="consultantplus://offline/ref=4475F08CD636C9B4655CE32245E4E20AA84418226669B1EA5944C38BAE655CDDBC2AD4ABD47230EF036FDA21DCa3b9M" TargetMode = "External"/>
	<Relationship Id="rId19" Type="http://schemas.openxmlformats.org/officeDocument/2006/relationships/hyperlink" Target="consultantplus://offline/ref=4475F08CD636C9B4655CE32245E4E20AA8421B2A606FB1EA5944C38BAE655CDDBC2AD4ABD47230EF036FDA21DCa3b9M" TargetMode = "External"/>
	<Relationship Id="rId20" Type="http://schemas.openxmlformats.org/officeDocument/2006/relationships/hyperlink" Target="consultantplus://offline/ref=4475F08CD636C9B4655CE32245E4E20AA8421B2A606FB1EA5944C38BAE655CDDBC2AD4ABD47230EF036FDA21DCa3b9M" TargetMode = "External"/>
	<Relationship Id="rId21" Type="http://schemas.openxmlformats.org/officeDocument/2006/relationships/hyperlink" Target="consultantplus://offline/ref=4475F08CD636C9B4655CE32245E4E20AA84514246468B1EA5944C38BAE655CDDBC2AD4ABD47230EF036FDA21DCa3b9M" TargetMode = "External"/>
	<Relationship Id="rId22" Type="http://schemas.openxmlformats.org/officeDocument/2006/relationships/hyperlink" Target="consultantplus://offline/ref=4475F08CD636C9B4655CE32245E4E20AA8451820656AB1EA5944C38BAE655CDDAE2A8CA7D5732EEE067A8C709A6F4B0EB6C29E6B09473AE1a5b2M" TargetMode = "External"/>
	<Relationship Id="rId23" Type="http://schemas.openxmlformats.org/officeDocument/2006/relationships/hyperlink" Target="consultantplus://offline/ref=4475F08CD636C9B4655CE32245E4E20AAF491B24606BB1EA5944C38BAE655CDDAE2A8CA7D5732EEE007A8C709A6F4B0EB6C29E6B09473AE1a5b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02.07.2020 N 359/пр
(ред. от 26.09.2023)
"Об Общественном совете при Министерстве строительства и жилищно-коммунального хозяйства Российской Федерации"
(вместе с "Положением об Общественном совете при Министерстве строительства и жилищно-коммунального хозяйства Российской Федерации")</dc:title>
  <dcterms:created xsi:type="dcterms:W3CDTF">2023-11-11T12:27:26Z</dcterms:created>
</cp:coreProperties>
</file>