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Росстата от 31.07.2023 N 371</w:t>
              <w:br/>
              <w:t xml:space="preserve">"Об утверждении формы федерального статистического наблюдения с указаниями по ее заполнению для организации федерального статистического наблюдения за деятельностью религиозных организаций"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ЭКОНОМИЧЕСКОГО РАЗВИТИЯ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ГОСУДАРСТВЕННОЙ СТАТИСТИКИ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31 июля 2023 г. N 371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 ФЕДЕРАЛЬНОГО СТАТИСТИЧЕСКОГО НАБЛЮДЕНИЯ</w:t>
      </w:r>
    </w:p>
    <w:p>
      <w:pPr>
        <w:pStyle w:val="2"/>
        <w:jc w:val="center"/>
      </w:pPr>
      <w:r>
        <w:rPr>
          <w:sz w:val="20"/>
        </w:rPr>
        <w:t xml:space="preserve">С УКАЗАНИЯМИ ПО ЕЕ ЗАПОЛНЕНИЮ ДЛЯ ОРГАНИЗАЦИИ ФЕДЕРАЛЬНОГО</w:t>
      </w:r>
    </w:p>
    <w:p>
      <w:pPr>
        <w:pStyle w:val="2"/>
        <w:jc w:val="center"/>
      </w:pPr>
      <w:r>
        <w:rPr>
          <w:sz w:val="20"/>
        </w:rPr>
        <w:t xml:space="preserve">СТАТИСТИЧЕСКОГО НАБЛЮДЕНИЯ ЗА ДЕЯТЕЛЬНОСТЬЮ</w:t>
      </w:r>
    </w:p>
    <w:p>
      <w:pPr>
        <w:pStyle w:val="2"/>
        <w:jc w:val="center"/>
      </w:pPr>
      <w:r>
        <w:rPr>
          <w:sz w:val="20"/>
        </w:rPr>
        <w:t xml:space="preserve">РЕЛИГИОЗНЫХ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02.06.2008 N 420 (ред. от 06.09.2021) &quot;О Федеральной службе государственной статистики&quot; {КонсультантПлюс}">
        <w:r>
          <w:rPr>
            <w:sz w:val="20"/>
            <w:color w:val="0000ff"/>
          </w:rPr>
          <w:t xml:space="preserve">подпунктом 5.5</w:t>
        </w:r>
      </w:hyperlink>
      <w:r>
        <w:rPr>
          <w:sz w:val="20"/>
        </w:rP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 целях реализации </w:t>
      </w:r>
      <w:hyperlink w:history="0" r:id="rId8" w:tooltip="Распоряжение Правительства РФ от 06.05.2008 N 671-р (ред. от 10.06.2023) &lt;Об утверждении Федерального плана статистических работ&gt; (вместе с &quot;Федеральным планом статистических работ&quot;) {КонсультантПлюс}">
        <w:r>
          <w:rPr>
            <w:sz w:val="20"/>
            <w:color w:val="0000ff"/>
          </w:rPr>
          <w:t xml:space="preserve">позиции 1.32.19</w:t>
        </w:r>
      </w:hyperlink>
      <w:r>
        <w:rPr>
          <w:sz w:val="20"/>
        </w:rPr>
        <w:t xml:space="preserve">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годовую </w:t>
      </w:r>
      <w:hyperlink w:history="0" w:anchor="P29" w:tooltip="СВЕДЕНИЯ О ДЕЯТЕЛЬНОСТИ РЕЛИГИОЗНОЙ ОРГАНИЗАЦИИ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федерального статистического наблюдения N 1-СОНКО(Р) "Сведения о деятельности религиозной организации" с указаниями по ее заполнению и ввести ее в действие с отчета за 2023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Первичные статистические данные по </w:t>
      </w:r>
      <w:hyperlink w:history="0" w:anchor="P29" w:tooltip="СВЕДЕНИЯ О ДЕЯТЕЛЬНОСТИ РЕЛИГИОЗНОЙ ОРГАНИЗАЦИИ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федерального статистического наблюдения, утвержденной настоящим приказом, предоставляются в соответствии с указаниями по ее заполнению, по адресам, в сроки и с периодичностью, которые указаны на бланке этой </w:t>
      </w:r>
      <w:hyperlink w:history="0" w:anchor="P29" w:tooltip="СВЕДЕНИЯ О ДЕЯТЕЛЬНОСТИ РЕЛИГИОЗНОЙ ОРГАНИЗАЦИИ">
        <w:r>
          <w:rPr>
            <w:sz w:val="20"/>
            <w:color w:val="0000ff"/>
          </w:rPr>
          <w:t xml:space="preserve">формы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9" w:tooltip="Приказ Росстата от 18.10.2022 N 707 &quot;Об утверждении формы федерального статистического наблюдения с указаниями по ее заполнению для организации федерального статистического наблюдения за деятельностью религиозных организаций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Росстата от 18 октября 2022 г. N 707 "Об утверждении формы федерального статистического наблюдения с указаниями по ее заполнению для организации федерального статистического наблюдения за деятельностью религиозных организаций".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С.С.ГАЛКИН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outlineLvl w:val="0"/>
              <w:jc w:val="center"/>
            </w:pPr>
            <w:r>
              <w:rPr>
                <w:sz w:val="20"/>
              </w:rPr>
              <w:t xml:space="preserve">ФЕДЕРАЛЬНОЕ СТАТИСТИЧЕСКОЕ НАБЛЮДЕНИЕ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КОНФИДЕНЦИАЛЬНОСТЬ ГАРАНТИРУЕТСЯ ПОЛУЧАТЕЛЕМ ИНФОРМАЦИИ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bookmarkStart w:id="29" w:name="P29"/>
          <w:bookmarkEnd w:id="29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ДЕЯТЕЛЬНОСТИ РЕЛИГИОЗНОЙ ОРГАНИЗАЦИИ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20__ год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2"/>
        <w:gridCol w:w="1871"/>
        <w:gridCol w:w="340"/>
        <w:gridCol w:w="2608"/>
      </w:tblGrid>
      <w:tr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Предоставляют: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N 1-СОНКО(Р)</w:t>
            </w:r>
          </w:p>
        </w:tc>
      </w:tr>
      <w:tr>
        <w:tblPrEx>
          <w:tblBorders>
            <w:right w:val="nil"/>
          </w:tblBorders>
        </w:tblPrEx>
        <w:tc>
          <w:tcPr>
            <w:tcW w:w="42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 - некоммерческие организации, являющиеся религиозными: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15 февраля по 1 апреля после отчетного периода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Приказ Росстата: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утверждении формы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31.07.2023 N 371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внесении изменений (при наличии)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__________ N 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__________ N ___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Годовая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2663"/>
        <w:gridCol w:w="2663"/>
        <w:gridCol w:w="2665"/>
      </w:tblGrid>
      <w:tr>
        <w:tc>
          <w:tcPr>
            <w:gridSpan w:val="4"/>
            <w:tcW w:w="9068" w:type="dxa"/>
          </w:tcPr>
          <w:bookmarkStart w:id="48" w:name="P48"/>
          <w:bookmarkEnd w:id="48"/>
          <w:p>
            <w:pPr>
              <w:pStyle w:val="0"/>
            </w:pPr>
            <w:r>
              <w:rPr>
                <w:sz w:val="20"/>
              </w:rPr>
              <w:t xml:space="preserve">Наименование отчитывающейся организации __________________________________</w:t>
            </w:r>
          </w:p>
        </w:tc>
      </w:tr>
      <w:tr>
        <w:tc>
          <w:tcPr>
            <w:gridSpan w:val="4"/>
            <w:tcW w:w="9068" w:type="dxa"/>
          </w:tcPr>
          <w:bookmarkStart w:id="49" w:name="P49"/>
          <w:bookmarkEnd w:id="49"/>
          <w:p>
            <w:pPr>
              <w:pStyle w:val="0"/>
            </w:pPr>
            <w:r>
              <w:rPr>
                <w:sz w:val="20"/>
              </w:rPr>
              <w:t xml:space="preserve">Почтовый адрес ____________________________________________________________</w:t>
            </w:r>
          </w:p>
        </w:tc>
      </w:tr>
      <w:tr>
        <w:tc>
          <w:tcPr>
            <w:tcW w:w="1077" w:type="dxa"/>
            <w:vMerge w:val="restart"/>
          </w:tcPr>
          <w:bookmarkStart w:id="50" w:name="P50"/>
          <w:bookmarkEnd w:id="50"/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формы по </w:t>
            </w:r>
            <w:hyperlink w:history="0" r:id="rId10" w:tooltip="&quot;ОК 011-93. Общероссийский классификатор управленческой документации&quot; (утв. Постановлением Госстандарта России от 30.12.1993 N 299) (ред. от 19.09.2023) {КонсультантПлюс}">
              <w:r>
                <w:rPr>
                  <w:sz w:val="20"/>
                  <w:color w:val="0000ff"/>
                </w:rPr>
                <w:t xml:space="preserve">ОКУД</w:t>
              </w:r>
            </w:hyperlink>
          </w:p>
        </w:tc>
        <w:tc>
          <w:tcPr>
            <w:gridSpan w:val="3"/>
            <w:tcW w:w="79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</w:tr>
      <w:tr>
        <w:tc>
          <w:tcPr>
            <w:vMerge w:val="continue"/>
          </w:tcPr>
          <w:p/>
        </w:tc>
        <w:tc>
          <w:tcPr>
            <w:tcW w:w="26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отчитывающейся организации по ОКПО</w:t>
            </w:r>
          </w:p>
        </w:tc>
        <w:tc>
          <w:tcPr>
            <w:tcW w:w="266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0608034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64" w:name="P64"/>
    <w:bookmarkEnd w:id="64"/>
    <w:p>
      <w:pPr>
        <w:pStyle w:val="0"/>
        <w:outlineLvl w:val="1"/>
        <w:jc w:val="center"/>
      </w:pPr>
      <w:r>
        <w:rPr>
          <w:sz w:val="20"/>
        </w:rPr>
        <w:t xml:space="preserve">Раздел 1. Виды деятельности, которые</w:t>
      </w:r>
    </w:p>
    <w:p>
      <w:pPr>
        <w:pStyle w:val="0"/>
        <w:jc w:val="center"/>
      </w:pPr>
      <w:r>
        <w:rPr>
          <w:sz w:val="20"/>
        </w:rPr>
        <w:t xml:space="preserve">организация в соответствии с ее уставом осуществляла</w:t>
      </w:r>
    </w:p>
    <w:p>
      <w:pPr>
        <w:pStyle w:val="0"/>
        <w:jc w:val="center"/>
      </w:pPr>
      <w:r>
        <w:rPr>
          <w:sz w:val="20"/>
        </w:rPr>
        <w:t xml:space="preserve">в отчетном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30"/>
        <w:gridCol w:w="851"/>
        <w:gridCol w:w="1191"/>
      </w:tblGrid>
      <w:tr>
        <w:tc>
          <w:tcPr>
            <w:tcW w:w="7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показателей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строки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Установите символ "1" в соответствующую строку</w:t>
            </w:r>
          </w:p>
        </w:tc>
      </w:tr>
      <w:tr>
        <w:tc>
          <w:tcPr>
            <w:tcW w:w="7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Профилактика социального сиротства, поддержка материнства и детства, включая социальную реабилитацию детей-сирот, детей, оставшихся без попечения родителей, безнадзорных детей, детей, находящихся в трудной жизненной ситуации, а также содействие укреплению престижа и роли семьи в обществе</w:t>
            </w:r>
          </w:p>
        </w:tc>
        <w:tc>
          <w:tcPr>
            <w:tcW w:w="851" w:type="dxa"/>
            <w:vAlign w:val="bottom"/>
          </w:tcPr>
          <w:bookmarkStart w:id="75" w:name="P75"/>
          <w:bookmarkEnd w:id="75"/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жизни людей пожилого возраста</w:t>
            </w:r>
          </w:p>
        </w:tc>
        <w:tc>
          <w:tcPr>
            <w:tcW w:w="85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</w:t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адаптация инвалидов и их семей</w:t>
            </w:r>
          </w:p>
        </w:tc>
        <w:tc>
          <w:tcPr>
            <w:tcW w:w="851" w:type="dxa"/>
            <w:vAlign w:val="bottom"/>
          </w:tcPr>
          <w:bookmarkStart w:id="81" w:name="P81"/>
          <w:bookmarkEnd w:id="81"/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поддержка и защита граждан, за исключением видов деятельности, указанных в </w:t>
            </w:r>
            <w:hyperlink w:history="0" w:anchor="P75" w:tooltip="01">
              <w:r>
                <w:rPr>
                  <w:sz w:val="20"/>
                  <w:color w:val="0000ff"/>
                </w:rPr>
                <w:t xml:space="preserve">строках 01</w:t>
              </w:r>
            </w:hyperlink>
            <w:r>
              <w:rPr>
                <w:sz w:val="20"/>
              </w:rPr>
              <w:t xml:space="preserve"> - </w:t>
            </w:r>
            <w:hyperlink w:history="0" w:anchor="P81" w:tooltip="03">
              <w:r>
                <w:rPr>
                  <w:sz w:val="20"/>
                  <w:color w:val="0000ff"/>
                </w:rPr>
                <w:t xml:space="preserve">03</w:t>
              </w:r>
            </w:hyperlink>
          </w:p>
        </w:tc>
        <w:tc>
          <w:tcPr>
            <w:tcW w:w="85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Благотворительная деятельность</w:t>
            </w:r>
          </w:p>
        </w:tc>
        <w:tc>
          <w:tcPr>
            <w:tcW w:w="85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благотворительной деятельности</w:t>
            </w:r>
          </w:p>
        </w:tc>
        <w:tc>
          <w:tcPr>
            <w:tcW w:w="85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в области добровольчества (волонтерства)</w:t>
            </w:r>
          </w:p>
        </w:tc>
        <w:tc>
          <w:tcPr>
            <w:tcW w:w="85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в области образования, просвещения, науки, содействие такой деятельности</w:t>
            </w:r>
          </w:p>
        </w:tc>
        <w:tc>
          <w:tcPr>
            <w:tcW w:w="851" w:type="dxa"/>
            <w:vAlign w:val="bottom"/>
          </w:tcPr>
          <w:bookmarkStart w:id="96" w:name="P96"/>
          <w:bookmarkEnd w:id="96"/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в сфере патриотического, в том числе военно-патриотического, духовно-нравственного воспитания граждан Российской Федерации</w:t>
            </w:r>
          </w:p>
        </w:tc>
        <w:tc>
          <w:tcPr>
            <w:tcW w:w="851" w:type="dxa"/>
            <w:vAlign w:val="bottom"/>
          </w:tcPr>
          <w:bookmarkStart w:id="99" w:name="P99"/>
          <w:bookmarkEnd w:id="99"/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в области улучшения морально-психологического состояния граждан и духовного развития личности, содействие такой деятельности, за исключением видов деятельности, указанных в </w:t>
            </w:r>
            <w:hyperlink w:history="0" w:anchor="P96" w:tooltip="15">
              <w:r>
                <w:rPr>
                  <w:sz w:val="20"/>
                  <w:color w:val="0000ff"/>
                </w:rPr>
                <w:t xml:space="preserve">строках 15</w:t>
              </w:r>
            </w:hyperlink>
            <w:r>
              <w:rPr>
                <w:sz w:val="20"/>
              </w:rPr>
              <w:t xml:space="preserve"> и </w:t>
            </w:r>
            <w:hyperlink w:history="0" w:anchor="P99" w:tooltip="18">
              <w:r>
                <w:rPr>
                  <w:sz w:val="20"/>
                  <w:color w:val="0000ff"/>
                </w:rPr>
                <w:t xml:space="preserve">18</w:t>
              </w:r>
            </w:hyperlink>
          </w:p>
        </w:tc>
        <w:tc>
          <w:tcPr>
            <w:tcW w:w="85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межнационального сотрудничества (включая содействие укреплению мира, дружбы и согласия между народами, предотвращению национальных и религиозных конфликтов), сохранение и защита самобытности, культуры, языка и традиций народов Российской Федерации</w:t>
            </w:r>
          </w:p>
        </w:tc>
        <w:tc>
          <w:tcPr>
            <w:tcW w:w="851" w:type="dxa"/>
            <w:vAlign w:val="bottom"/>
          </w:tcPr>
          <w:bookmarkStart w:id="105" w:name="P105"/>
          <w:bookmarkEnd w:id="105"/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виды деятельности, направленные на решение социальных проблем, развитие гражданского общества в Российской Федерации, установленные законами субъектов Российской Федерации и (или) нормативными правовыми актами представительных органов муниципальных образований для признания некоммерческих организаций социально ориентированными, за исключением видов деятельности, указанных в </w:t>
            </w:r>
            <w:hyperlink w:history="0" w:anchor="P75" w:tooltip="01">
              <w:r>
                <w:rPr>
                  <w:sz w:val="20"/>
                  <w:color w:val="0000ff"/>
                </w:rPr>
                <w:t xml:space="preserve">строках 01</w:t>
              </w:r>
            </w:hyperlink>
            <w:r>
              <w:rPr>
                <w:sz w:val="20"/>
              </w:rPr>
              <w:t xml:space="preserve"> - </w:t>
            </w:r>
            <w:hyperlink w:history="0" w:anchor="P105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  <w:tc>
          <w:tcPr>
            <w:tcW w:w="851" w:type="dxa"/>
            <w:vAlign w:val="bottom"/>
          </w:tcPr>
          <w:bookmarkStart w:id="108" w:name="P108"/>
          <w:bookmarkEnd w:id="108"/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11" w:name="P111"/>
    <w:bookmarkEnd w:id="111"/>
    <w:p>
      <w:pPr>
        <w:pStyle w:val="0"/>
        <w:outlineLvl w:val="1"/>
        <w:jc w:val="center"/>
      </w:pPr>
      <w:r>
        <w:rPr>
          <w:sz w:val="20"/>
        </w:rPr>
        <w:t xml:space="preserve">Раздел 2. Источники и объемы формирования денежных средств</w:t>
      </w:r>
    </w:p>
    <w:p>
      <w:pPr>
        <w:pStyle w:val="0"/>
        <w:jc w:val="center"/>
      </w:pPr>
      <w:r>
        <w:rPr>
          <w:sz w:val="20"/>
        </w:rPr>
        <w:t xml:space="preserve">и иного имущества организации, тысяча рублей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30"/>
        <w:gridCol w:w="851"/>
        <w:gridCol w:w="1191"/>
      </w:tblGrid>
      <w:tr>
        <w:tc>
          <w:tcPr>
            <w:tcW w:w="7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показателей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строки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год</w:t>
            </w:r>
          </w:p>
        </w:tc>
      </w:tr>
      <w:tr>
        <w:tc>
          <w:tcPr>
            <w:tcW w:w="7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поступления из федерального бюджета</w:t>
            </w:r>
          </w:p>
        </w:tc>
        <w:tc>
          <w:tcPr>
            <w:tcW w:w="851" w:type="dxa"/>
            <w:vAlign w:val="bottom"/>
          </w:tcPr>
          <w:bookmarkStart w:id="121" w:name="P121"/>
          <w:bookmarkEnd w:id="121"/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Гранты от некоммерческих неправительственных организаций, участвующих в развитии институтов гражданского общества, предоставленные за счет субсидий из федерального бюджета</w:t>
            </w:r>
          </w:p>
        </w:tc>
        <w:tc>
          <w:tcPr>
            <w:tcW w:w="851" w:type="dxa"/>
            <w:vAlign w:val="bottom"/>
          </w:tcPr>
          <w:bookmarkStart w:id="124" w:name="P124"/>
          <w:bookmarkEnd w:id="124"/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поступления из бюджетов субъектов Российской Федерации</w:t>
            </w:r>
          </w:p>
        </w:tc>
        <w:tc>
          <w:tcPr>
            <w:tcW w:w="851" w:type="dxa"/>
            <w:vAlign w:val="bottom"/>
          </w:tcPr>
          <w:bookmarkStart w:id="127" w:name="P127"/>
          <w:bookmarkEnd w:id="127"/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поступления из муниципальных (местных) бюджетов</w:t>
            </w:r>
          </w:p>
        </w:tc>
        <w:tc>
          <w:tcPr>
            <w:tcW w:w="85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поступления из государственных внебюджетных фондов</w:t>
            </w:r>
          </w:p>
        </w:tc>
        <w:tc>
          <w:tcPr>
            <w:tcW w:w="851" w:type="dxa"/>
            <w:vAlign w:val="bottom"/>
          </w:tcPr>
          <w:bookmarkStart w:id="133" w:name="P133"/>
          <w:bookmarkEnd w:id="133"/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Пожертвования, добровольные взносы, включая имущественные, и иные целевые поступления, гранты (за исключением грантов, указанных в </w:t>
            </w:r>
            <w:hyperlink w:history="0" w:anchor="P124" w:tooltip="41">
              <w:r>
                <w:rPr>
                  <w:sz w:val="20"/>
                  <w:color w:val="0000ff"/>
                </w:rPr>
                <w:t xml:space="preserve">строке 41</w:t>
              </w:r>
            </w:hyperlink>
            <w:r>
              <w:rPr>
                <w:sz w:val="20"/>
              </w:rPr>
              <w:t xml:space="preserve">) </w:t>
            </w:r>
            <w:hyperlink w:history="0" w:anchor="P159" w:tooltip="&lt;1&gt; Заполняется религиозными организациями, получившими в течение отчетного года денежные средства и иное имущество от международных и иностранных организаций, иностранных граждан, лиц без гражданства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851" w:type="dxa"/>
            <w:vAlign w:val="bottom"/>
          </w:tcPr>
          <w:bookmarkStart w:id="136" w:name="P136"/>
          <w:bookmarkEnd w:id="136"/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 том числе полученные от: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российских юридических лиц</w:t>
            </w:r>
          </w:p>
        </w:tc>
        <w:tc>
          <w:tcPr>
            <w:tcW w:w="851" w:type="dxa"/>
            <w:vAlign w:val="bottom"/>
          </w:tcPr>
          <w:bookmarkStart w:id="140" w:name="P140"/>
          <w:bookmarkEnd w:id="140"/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иностранных и международных юридических лиц</w:t>
            </w:r>
          </w:p>
        </w:tc>
        <w:tc>
          <w:tcPr>
            <w:tcW w:w="851" w:type="dxa"/>
            <w:vAlign w:val="bottom"/>
          </w:tcPr>
          <w:bookmarkStart w:id="143" w:name="P143"/>
          <w:bookmarkEnd w:id="143"/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граждан Российской Федерации</w:t>
            </w:r>
          </w:p>
        </w:tc>
        <w:tc>
          <w:tcPr>
            <w:tcW w:w="85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иностранных граждан и (или) лиц без гражданства</w:t>
            </w:r>
          </w:p>
        </w:tc>
        <w:tc>
          <w:tcPr>
            <w:tcW w:w="851" w:type="dxa"/>
            <w:vAlign w:val="bottom"/>
          </w:tcPr>
          <w:bookmarkStart w:id="149" w:name="P149"/>
          <w:bookmarkEnd w:id="149"/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Доходы от предпринимательской и (или) иной приносящей доход деятельности </w:t>
            </w:r>
            <w:hyperlink w:history="0" w:anchor="P159" w:tooltip="&lt;1&gt; Заполняется религиозными организациями, получившими в течение отчетного года денежные средства и иное имущество от международных и иностранных организаций, иностранных граждан, лиц без гражданства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851" w:type="dxa"/>
            <w:vAlign w:val="bottom"/>
          </w:tcPr>
          <w:bookmarkStart w:id="152" w:name="P152"/>
          <w:bookmarkEnd w:id="152"/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Иные поступления </w:t>
            </w:r>
            <w:hyperlink w:history="0" w:anchor="P159" w:tooltip="&lt;1&gt; Заполняется религиозными организациями, получившими в течение отчетного года денежные средства и иное имущество от международных и иностранных организаций, иностранных граждан, лиц без гражданства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851" w:type="dxa"/>
            <w:vAlign w:val="bottom"/>
          </w:tcPr>
          <w:bookmarkStart w:id="155" w:name="P155"/>
          <w:bookmarkEnd w:id="155"/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Заполняется религиозными организациями, получившими в течение отчетного года денежные средства и иное имущество от международных и иностранных организаций, иностранных граждан, лиц без гражданства.</w:t>
      </w:r>
    </w:p>
    <w:p>
      <w:pPr>
        <w:pStyle w:val="0"/>
        <w:jc w:val="both"/>
      </w:pPr>
      <w:r>
        <w:rPr>
          <w:sz w:val="20"/>
        </w:rPr>
      </w:r>
    </w:p>
    <w:bookmarkStart w:id="161" w:name="P161"/>
    <w:bookmarkEnd w:id="161"/>
    <w:p>
      <w:pPr>
        <w:pStyle w:val="0"/>
        <w:outlineLvl w:val="1"/>
        <w:jc w:val="center"/>
      </w:pPr>
      <w:r>
        <w:rPr>
          <w:sz w:val="20"/>
        </w:rPr>
        <w:t xml:space="preserve">Раздел 3. Использование денежных средств и иного</w:t>
      </w:r>
    </w:p>
    <w:p>
      <w:pPr>
        <w:pStyle w:val="0"/>
        <w:jc w:val="center"/>
      </w:pPr>
      <w:r>
        <w:rPr>
          <w:sz w:val="20"/>
        </w:rPr>
        <w:t xml:space="preserve">имущества религиозной организацией, получившей денежные</w:t>
      </w:r>
    </w:p>
    <w:p>
      <w:pPr>
        <w:pStyle w:val="0"/>
        <w:jc w:val="center"/>
      </w:pPr>
      <w:r>
        <w:rPr>
          <w:sz w:val="20"/>
        </w:rPr>
        <w:t xml:space="preserve">средства и иное имущество от международных и иностранных</w:t>
      </w:r>
    </w:p>
    <w:p>
      <w:pPr>
        <w:pStyle w:val="0"/>
        <w:jc w:val="center"/>
      </w:pPr>
      <w:r>
        <w:rPr>
          <w:sz w:val="20"/>
        </w:rPr>
        <w:t xml:space="preserve">организаций, иностранных граждан и лиц без гражданства,</w:t>
      </w:r>
    </w:p>
    <w:p>
      <w:pPr>
        <w:pStyle w:val="0"/>
        <w:jc w:val="center"/>
      </w:pPr>
      <w:r>
        <w:rPr>
          <w:sz w:val="20"/>
        </w:rPr>
        <w:t xml:space="preserve">тысяча рублей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30"/>
        <w:gridCol w:w="851"/>
        <w:gridCol w:w="1191"/>
      </w:tblGrid>
      <w:tr>
        <w:tc>
          <w:tcPr>
            <w:tcW w:w="7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показателей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строки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год</w:t>
            </w:r>
          </w:p>
        </w:tc>
      </w:tr>
      <w:tr>
        <w:tc>
          <w:tcPr>
            <w:tcW w:w="7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основную деятельность</w:t>
            </w:r>
          </w:p>
        </w:tc>
        <w:tc>
          <w:tcPr>
            <w:tcW w:w="851" w:type="dxa"/>
            <w:vAlign w:val="bottom"/>
          </w:tcPr>
          <w:bookmarkStart w:id="174" w:name="P174"/>
          <w:bookmarkEnd w:id="174"/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благотворительную помощь</w:t>
            </w:r>
          </w:p>
        </w:tc>
        <w:tc>
          <w:tcPr>
            <w:tcW w:w="851" w:type="dxa"/>
            <w:vAlign w:val="bottom"/>
          </w:tcPr>
          <w:bookmarkStart w:id="177" w:name="P177"/>
          <w:bookmarkEnd w:id="177"/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из них физическим лицам</w:t>
            </w:r>
          </w:p>
        </w:tc>
        <w:tc>
          <w:tcPr>
            <w:tcW w:w="851" w:type="dxa"/>
            <w:vAlign w:val="bottom"/>
          </w:tcPr>
          <w:bookmarkStart w:id="180" w:name="P180"/>
          <w:bookmarkEnd w:id="180"/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  <w:ind w:left="566"/>
            </w:pPr>
            <w:r>
              <w:rPr>
                <w:sz w:val="20"/>
              </w:rPr>
              <w:t xml:space="preserve">из них в натуральной форме</w:t>
            </w:r>
          </w:p>
        </w:tc>
        <w:tc>
          <w:tcPr>
            <w:tcW w:w="851" w:type="dxa"/>
            <w:vAlign w:val="bottom"/>
          </w:tcPr>
          <w:bookmarkStart w:id="183" w:name="P183"/>
          <w:bookmarkEnd w:id="183"/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Иные виды расходования денежных средств и иного имущества</w:t>
            </w:r>
          </w:p>
        </w:tc>
        <w:tc>
          <w:tcPr>
            <w:tcW w:w="851" w:type="dxa"/>
            <w:vAlign w:val="bottom"/>
          </w:tcPr>
          <w:bookmarkStart w:id="186" w:name="P186"/>
          <w:bookmarkEnd w:id="186"/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89" w:name="P189"/>
    <w:bookmarkEnd w:id="189"/>
    <w:p>
      <w:pPr>
        <w:pStyle w:val="0"/>
        <w:outlineLvl w:val="1"/>
        <w:jc w:val="center"/>
      </w:pPr>
      <w:r>
        <w:rPr>
          <w:sz w:val="20"/>
        </w:rPr>
        <w:t xml:space="preserve">Раздел 4. </w:t>
      </w:r>
      <w:hyperlink w:history="0" w:anchor="P223" w:tooltip="&lt;1&gt; Заполняется по видам деятельности, предусмотренным разделом 1 данной формы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 Численность, начисленная заработная</w:t>
      </w:r>
    </w:p>
    <w:p>
      <w:pPr>
        <w:pStyle w:val="0"/>
        <w:jc w:val="center"/>
      </w:pPr>
      <w:r>
        <w:rPr>
          <w:sz w:val="20"/>
        </w:rPr>
        <w:t xml:space="preserve">плата, выплаты социального характера и страховые взносы</w:t>
      </w:r>
    </w:p>
    <w:p>
      <w:pPr>
        <w:pStyle w:val="0"/>
        <w:jc w:val="center"/>
      </w:pPr>
      <w:r>
        <w:rPr>
          <w:sz w:val="20"/>
        </w:rPr>
        <w:t xml:space="preserve">на обязательное социальное страхование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30"/>
        <w:gridCol w:w="851"/>
        <w:gridCol w:w="1191"/>
      </w:tblGrid>
      <w:tr>
        <w:tc>
          <w:tcPr>
            <w:tcW w:w="7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показателей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строки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год</w:t>
            </w:r>
          </w:p>
        </w:tc>
      </w:tr>
      <w:tr>
        <w:tc>
          <w:tcPr>
            <w:tcW w:w="7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Среднесписочная численность работников (без внешних совместителей и работников несписочного состава), чел</w:t>
            </w:r>
          </w:p>
        </w:tc>
        <w:tc>
          <w:tcPr>
            <w:tcW w:w="851" w:type="dxa"/>
            <w:vAlign w:val="bottom"/>
          </w:tcPr>
          <w:bookmarkStart w:id="200" w:name="P200"/>
          <w:bookmarkEnd w:id="200"/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Фонд начисленной заработной платы работникам - всего, тыс руб</w:t>
            </w:r>
          </w:p>
        </w:tc>
        <w:tc>
          <w:tcPr>
            <w:tcW w:w="851" w:type="dxa"/>
            <w:vAlign w:val="bottom"/>
          </w:tcPr>
          <w:bookmarkStart w:id="203" w:name="P203"/>
          <w:bookmarkEnd w:id="203"/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работникам списочного состава (без внешних совместителей), тыс руб</w:t>
            </w:r>
          </w:p>
        </w:tc>
        <w:tc>
          <w:tcPr>
            <w:tcW w:w="851" w:type="dxa"/>
            <w:vAlign w:val="bottom"/>
          </w:tcPr>
          <w:bookmarkStart w:id="207" w:name="P207"/>
          <w:bookmarkEnd w:id="207"/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внешним совместителям, тыс руб</w:t>
            </w:r>
          </w:p>
        </w:tc>
        <w:tc>
          <w:tcPr>
            <w:tcW w:w="85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работникам, выполнявшим работы по договорам гражданско-правового характера, и другим лицам несписочного состава, тыс руб</w:t>
            </w:r>
          </w:p>
        </w:tc>
        <w:tc>
          <w:tcPr>
            <w:tcW w:w="851" w:type="dxa"/>
            <w:vAlign w:val="bottom"/>
          </w:tcPr>
          <w:bookmarkStart w:id="213" w:name="P213"/>
          <w:bookmarkEnd w:id="213"/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Выплаты социального характера работникам - всего, тыс руб</w:t>
            </w:r>
          </w:p>
        </w:tc>
        <w:tc>
          <w:tcPr>
            <w:tcW w:w="851" w:type="dxa"/>
            <w:vAlign w:val="bottom"/>
          </w:tcPr>
          <w:bookmarkStart w:id="216" w:name="P216"/>
          <w:bookmarkEnd w:id="216"/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Страховые взносы на обязательное социальное страхование - всего, тыс руб</w:t>
            </w:r>
          </w:p>
        </w:tc>
        <w:tc>
          <w:tcPr>
            <w:tcW w:w="851" w:type="dxa"/>
            <w:vAlign w:val="bottom"/>
          </w:tcPr>
          <w:bookmarkStart w:id="219" w:name="P219"/>
          <w:bookmarkEnd w:id="219"/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119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23" w:name="P223"/>
    <w:bookmarkEnd w:id="2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Заполняется по видам деятельности, предусмотренным </w:t>
      </w:r>
      <w:hyperlink w:history="0" w:anchor="P64" w:tooltip="Раздел 1. Виды деятельности, которые">
        <w:r>
          <w:rPr>
            <w:sz w:val="20"/>
            <w:color w:val="0000ff"/>
          </w:rPr>
          <w:t xml:space="preserve">разделом 1</w:t>
        </w:r>
      </w:hyperlink>
      <w:r>
        <w:rPr>
          <w:sz w:val="20"/>
        </w:rPr>
        <w:t xml:space="preserve"> данной формы.</w:t>
      </w:r>
    </w:p>
    <w:p>
      <w:pPr>
        <w:pStyle w:val="0"/>
        <w:jc w:val="both"/>
      </w:pPr>
      <w:r>
        <w:rPr>
          <w:sz w:val="20"/>
        </w:rPr>
      </w:r>
    </w:p>
    <w:bookmarkStart w:id="225" w:name="P225"/>
    <w:bookmarkEnd w:id="225"/>
    <w:p>
      <w:pPr>
        <w:pStyle w:val="0"/>
        <w:outlineLvl w:val="1"/>
        <w:jc w:val="center"/>
      </w:pPr>
      <w:r>
        <w:rPr>
          <w:sz w:val="20"/>
        </w:rPr>
        <w:t xml:space="preserve">Раздел 5. </w:t>
      </w:r>
      <w:hyperlink w:history="0" w:anchor="P288" w:tooltip="&lt;1&gt; Заполняется по видам деятельности, предусмотренным разделом 1 данной формы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 Наличие, движение и состав основных фондов,</w:t>
      </w:r>
    </w:p>
    <w:p>
      <w:pPr>
        <w:pStyle w:val="0"/>
        <w:jc w:val="center"/>
      </w:pPr>
      <w:r>
        <w:rPr>
          <w:sz w:val="20"/>
        </w:rPr>
        <w:t xml:space="preserve">тысяча рублей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48"/>
        <w:gridCol w:w="723"/>
        <w:gridCol w:w="1020"/>
        <w:gridCol w:w="1531"/>
        <w:gridCol w:w="778"/>
        <w:gridCol w:w="778"/>
        <w:gridCol w:w="2211"/>
      </w:tblGrid>
      <w:tr>
        <w:tc>
          <w:tcPr>
            <w:tcW w:w="48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показателей</w:t>
            </w:r>
          </w:p>
        </w:tc>
        <w:tc>
          <w:tcPr>
            <w:tcW w:w="7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строки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на начало года по полной учетной стоимости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новой стоимости (ввод в действие новых основных фондов, модернизация, реконструкция) за отчетный год</w:t>
            </w:r>
          </w:p>
        </w:tc>
        <w:tc>
          <w:tcPr>
            <w:gridSpan w:val="2"/>
            <w:tcW w:w="1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на конец года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Справочно: инвестиции в основной капитал (затраты на строительство и реконструкцию объектов, приобретение новых основных средств, а также основных средств, поступивших по импорту) за отчетный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полной учетной стоимости</w:t>
            </w:r>
          </w:p>
        </w:tc>
        <w:tc>
          <w:tcPr>
            <w:tcW w:w="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остаточной балансовой стоимости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4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7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1020" w:type="dxa"/>
          </w:tcPr>
          <w:bookmarkStart w:id="238" w:name="P238"/>
          <w:bookmarkEnd w:id="238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1" w:type="dxa"/>
          </w:tcPr>
          <w:bookmarkStart w:id="239" w:name="P239"/>
          <w:bookmarkEnd w:id="239"/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78" w:type="dxa"/>
          </w:tcPr>
          <w:bookmarkStart w:id="240" w:name="P240"/>
          <w:bookmarkEnd w:id="240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78" w:type="dxa"/>
          </w:tcPr>
          <w:bookmarkStart w:id="241" w:name="P241"/>
          <w:bookmarkEnd w:id="241"/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211" w:type="dxa"/>
          </w:tcPr>
          <w:bookmarkStart w:id="242" w:name="P242"/>
          <w:bookmarkEnd w:id="242"/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484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основных фондов (за исключением земельных участков и объектов природопользования)</w:t>
            </w:r>
          </w:p>
        </w:tc>
        <w:tc>
          <w:tcPr>
            <w:tcW w:w="723" w:type="dxa"/>
            <w:vAlign w:val="bottom"/>
          </w:tcPr>
          <w:bookmarkStart w:id="244" w:name="P244"/>
          <w:bookmarkEnd w:id="244"/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8" w:type="dxa"/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здания (жилые и нежилые здания, жилые и нежилые помещения, квартиры)</w:t>
            </w:r>
          </w:p>
        </w:tc>
        <w:tc>
          <w:tcPr>
            <w:tcW w:w="723" w:type="dxa"/>
            <w:vAlign w:val="bottom"/>
          </w:tcPr>
          <w:bookmarkStart w:id="252" w:name="P252"/>
          <w:bookmarkEnd w:id="252"/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8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сооружения</w:t>
            </w:r>
          </w:p>
        </w:tc>
        <w:tc>
          <w:tcPr>
            <w:tcW w:w="723" w:type="dxa"/>
            <w:vAlign w:val="bottom"/>
          </w:tcPr>
          <w:bookmarkStart w:id="259" w:name="P259"/>
          <w:bookmarkEnd w:id="259"/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8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машины и оборудование</w:t>
            </w:r>
          </w:p>
        </w:tc>
        <w:tc>
          <w:tcPr>
            <w:tcW w:w="723" w:type="dxa"/>
            <w:vAlign w:val="bottom"/>
          </w:tcPr>
          <w:bookmarkStart w:id="266" w:name="P266"/>
          <w:bookmarkEnd w:id="266"/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8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транспортные средства</w:t>
            </w:r>
          </w:p>
        </w:tc>
        <w:tc>
          <w:tcPr>
            <w:tcW w:w="723" w:type="dxa"/>
            <w:vAlign w:val="bottom"/>
          </w:tcPr>
          <w:bookmarkStart w:id="273" w:name="P273"/>
          <w:bookmarkEnd w:id="273"/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48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другие, не перечисленные выше, виды основных фондов (культивируемые биологические ресурсы, неоднократно дающие продукцию животного и растительного происхождения, хозяйственный инвентарь и прочие)</w:t>
            </w:r>
          </w:p>
        </w:tc>
        <w:tc>
          <w:tcPr>
            <w:tcW w:w="723" w:type="dxa"/>
            <w:vAlign w:val="bottom"/>
          </w:tcPr>
          <w:bookmarkStart w:id="280" w:name="P280"/>
          <w:bookmarkEnd w:id="280"/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02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7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88" w:name="P288"/>
    <w:bookmarkEnd w:id="2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Заполняется по видам деятельности, предусмотренным </w:t>
      </w:r>
      <w:hyperlink w:history="0" w:anchor="P64" w:tooltip="Раздел 1. Виды деятельности, которые">
        <w:r>
          <w:rPr>
            <w:sz w:val="20"/>
            <w:color w:val="0000ff"/>
          </w:rPr>
          <w:t xml:space="preserve">разделом 1</w:t>
        </w:r>
      </w:hyperlink>
      <w:r>
        <w:rPr>
          <w:sz w:val="20"/>
        </w:rPr>
        <w:t xml:space="preserve"> данной формы.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1"/>
        <w:gridCol w:w="2267"/>
        <w:gridCol w:w="340"/>
        <w:gridCol w:w="1133"/>
        <w:gridCol w:w="1133"/>
        <w:gridCol w:w="340"/>
        <w:gridCol w:w="2267"/>
      </w:tblGrid>
      <w:t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566" w:left="284"/>
              <w:jc w:val="both"/>
            </w:pPr>
            <w:r>
              <w:rPr>
                <w:sz w:val="20"/>
              </w:rPr>
              <w:t xml:space="preserve">Должностное лицо, 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26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2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E-mail:</w:t>
            </w:r>
          </w:p>
        </w:tc>
        <w:tc>
          <w:tcPr>
            <w:tcW w:w="1133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"__" ____ 20__ год</w:t>
            </w:r>
          </w:p>
        </w:tc>
      </w:tr>
      <w:t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(номер контактного телефона)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составления документа)</w:t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Указания</w:t>
      </w:r>
    </w:p>
    <w:p>
      <w:pPr>
        <w:pStyle w:val="0"/>
        <w:jc w:val="center"/>
      </w:pPr>
      <w:r>
        <w:rPr>
          <w:sz w:val="20"/>
        </w:rPr>
        <w:t xml:space="preserve">по заполнению формы федерального статистического наблюдения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Первичные статистические данные (далее - данные) по </w:t>
      </w:r>
      <w:hyperlink w:history="0" w:anchor="P29" w:tooltip="СВЕДЕНИЯ О ДЕЯТЕЛЬНОСТИ РЕЛИГИОЗНОЙ ОРГАНИЗАЦИИ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федерального статистического наблюдения N 1-СОНКО(Р) "Сведения о деятельности религиозной организации" (далее - форма) предоставляют юридические лица - некоммерческие организации, являющиеся религиозными.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3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пунктом 4 статьи 1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 данные по </w:t>
      </w:r>
      <w:hyperlink w:history="0" w:anchor="P29" w:tooltip="СВЕДЕНИЯ О ДЕЯТЕЛЬНОСТИ РЕЛИГИОЗНОЙ ОРГАНИЗАЦИИ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предоставляются в добровольном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Русской Православной Церкви отчитываются епархии. Епархии Русской Православной Церкви включают в свою отчетность сводную информацию всех канонических подразделений, входящих в их состав. Религиозные организации, применяющие упрощенную систему налогообложения, предоставляют данные на общих основаниях.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Юридическое лицо заполняет </w:t>
      </w:r>
      <w:hyperlink w:history="0" w:anchor="P29" w:tooltip="СВЕДЕНИЯ О ДЕЯТЕЛЬНОСТИ РЕЛИГИОЗНОЙ ОРГАНИЗАЦИИ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и предоставляет ее в территориальный орган Росстата по месту своего нахождения.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</w:t>
      </w:r>
      <w:hyperlink w:history="0" r:id="rId14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статье 54</w:t>
        </w:r>
      </w:hyperlink>
      <w:r>
        <w:rPr>
          <w:sz w:val="20"/>
        </w:rPr>
        <w:t xml:space="preserve"> Гражданского кодекса Российской Федерации место нахождения юридического лица определяется местом его государственной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у юридического лица обособленных подразделений </w:t>
      </w:r>
      <w:hyperlink w:history="0" w:anchor="P29" w:tooltip="СВЕДЕНИЯ О ДЕЯТЕЛЬНОСТИ РЕЛИГИОЗНОЙ ОРГАНИЗАЦИИ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заполняется в целом по юридическому лицу с учетом данных обособленных подразделений &lt;1&gt; (в том числе осуществляющих деятельность за пределами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w:history="0" r:id="rId15" w:tooltip="&quot;Налоговый кодекс Российской Федерации (часть первая)&quot; от 31.07.1998 N 146-ФЗ (ред. от 04.08.2023) (с изм. и доп., вступ. в силу с 01.10.2023) {КонсультантПлюс}">
        <w:r>
          <w:rPr>
            <w:sz w:val="20"/>
            <w:color w:val="0000ff"/>
          </w:rPr>
          <w:t xml:space="preserve">пункт 2 статьи 11</w:t>
        </w:r>
      </w:hyperlink>
      <w:r>
        <w:rPr>
          <w:sz w:val="20"/>
        </w:rPr>
        <w:t xml:space="preserve"> Налогового кодекса Российской Федерации).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Руководитель юридического лица назначает должностных лиц, уполномоченных предоставлять данные от имени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адресной </w:t>
      </w:r>
      <w:hyperlink w:history="0" w:anchor="P48" w:tooltip="Наименование отчитывающейся организации __________________________________">
        <w:r>
          <w:rPr>
            <w:sz w:val="20"/>
            <w:color w:val="0000ff"/>
          </w:rPr>
          <w:t xml:space="preserve">части</w:t>
        </w:r>
      </w:hyperlink>
      <w:r>
        <w:rPr>
          <w:sz w:val="20"/>
        </w:rPr>
        <w:t xml:space="preserve">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</w:t>
      </w:r>
      <w:hyperlink w:history="0" w:anchor="P49" w:tooltip="Почтовый адрес ____________________________________________________________">
        <w:r>
          <w:rPr>
            <w:sz w:val="20"/>
            <w:color w:val="0000ff"/>
          </w:rPr>
          <w:t xml:space="preserve">строке</w:t>
        </w:r>
      </w:hyperlink>
      <w:r>
        <w:rPr>
          <w:sz w:val="20"/>
        </w:rPr>
        <w:t xml:space="preserve"> "Почтовый адрес"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с юридическим адресом.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кодовой </w:t>
      </w:r>
      <w:hyperlink w:history="0" w:anchor="P50" w:tooltip="Код формы по ОКУД">
        <w:r>
          <w:rPr>
            <w:sz w:val="20"/>
            <w:color w:val="0000ff"/>
          </w:rPr>
          <w:t xml:space="preserve">части</w:t>
        </w:r>
      </w:hyperlink>
      <w:r>
        <w:rPr>
          <w:sz w:val="20"/>
        </w:rPr>
        <w:t xml:space="preserve"> титульного листа формы на основании Уведомления о присвоении кода ОКПО, размещенного на сайте системы сбора отчетности Росстата в информационно-телекоммуникационной сети "Интернет" по адресу: </w:t>
      </w:r>
      <w:r>
        <w:rPr>
          <w:sz w:val="20"/>
        </w:rPr>
        <w:t xml:space="preserve">https://websbor.gks.ru/online/info</w:t>
      </w:r>
      <w:r>
        <w:rPr>
          <w:sz w:val="20"/>
        </w:rPr>
        <w:t xml:space="preserve">, отчитывающаяся организация проставляет код по Общероссийскому классификатору предприятий и организаций (ОКПО).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Религиозные организации заполняют </w:t>
      </w:r>
      <w:hyperlink w:history="0" w:anchor="P29" w:tooltip="СВЕДЕНИЯ О ДЕЯТЕЛЬНОСТИ РЕЛИГИОЗНОЙ ОРГАНИЗАЦИИ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на основе первичных учетных документов, сметы доходов и расходов, документов бухгалтерского, налогового учета.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отсутствии наблюдаемого по </w:t>
      </w:r>
      <w:hyperlink w:history="0" w:anchor="P29" w:tooltip="СВЕДЕНИЯ О ДЕЯТЕЛЬНОСТИ РЕЛИГИОЗНОЙ ОРГАНИЗАЦИИ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явления за отчетный период необходимо направить подписанный в установленном порядке отчет по </w:t>
      </w:r>
      <w:hyperlink w:history="0" w:anchor="P29" w:tooltip="СВЕДЕНИЯ О ДЕЯТЕЛЬНОСТИ РЕЛИГИОЗНОЙ ОРГАНИЗАЦИИ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не заполненный значениями показателей ("пустой" отчет по </w:t>
      </w:r>
      <w:hyperlink w:history="0" w:anchor="P29" w:tooltip="СВЕДЕНИЯ О ДЕЯТЕЛЬНОСТИ РЕЛИГИОЗНОЙ ОРГАНИЗАЦИИ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). Во всех представляемых отчетах такого вида должен заполняться исключительно титульный </w:t>
      </w:r>
      <w:hyperlink w:history="0" w:anchor="P29" w:tooltip="СВЕДЕНИЯ О ДЕЯТЕЛЬНОСТИ РЕЛИГИОЗНОЙ ОРГАНИЗАЦИИ">
        <w:r>
          <w:rPr>
            <w:sz w:val="20"/>
            <w:color w:val="0000ff"/>
          </w:rPr>
          <w:t xml:space="preserve">раздел</w:t>
        </w:r>
      </w:hyperlink>
      <w:r>
        <w:rPr>
          <w:sz w:val="20"/>
        </w:rPr>
        <w:t xml:space="preserve"> формы, а в остальных разделах не должно указываться никаких значений данных, в том числе нулевых и прочерков.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w:anchor="P29" w:tooltip="СВЕДЕНИЯ О ДЕЯТЕЛЬНОСТИ РЕЛИГИОЗНОЙ ОРГАНИЗАЦИИ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заполняется в целых числах без запятой, за исключением строк с </w:t>
      </w:r>
      <w:hyperlink w:history="0" w:anchor="P200" w:tooltip="60">
        <w:r>
          <w:rPr>
            <w:sz w:val="20"/>
            <w:color w:val="0000ff"/>
          </w:rPr>
          <w:t xml:space="preserve">60</w:t>
        </w:r>
      </w:hyperlink>
      <w:r>
        <w:rPr>
          <w:sz w:val="20"/>
        </w:rPr>
        <w:t xml:space="preserve"> по </w:t>
      </w:r>
      <w:hyperlink w:history="0" w:anchor="P216" w:tooltip="65">
        <w:r>
          <w:rPr>
            <w:sz w:val="20"/>
            <w:color w:val="0000ff"/>
          </w:rPr>
          <w:t xml:space="preserve">65</w:t>
        </w:r>
      </w:hyperlink>
      <w:r>
        <w:rPr>
          <w:sz w:val="20"/>
        </w:rPr>
        <w:t xml:space="preserve"> по гр. 3, которые заполняются с одним десятичным знаком после запятой.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</w:t>
      </w:r>
      <w:hyperlink w:history="0" w:anchor="P64" w:tooltip="Раздел 1. Виды деятельности, которые">
        <w:r>
          <w:rPr>
            <w:sz w:val="20"/>
            <w:color w:val="0000ff"/>
          </w:rPr>
          <w:t xml:space="preserve">разделе 1</w:t>
        </w:r>
      </w:hyperlink>
      <w:r>
        <w:rPr>
          <w:sz w:val="20"/>
        </w:rPr>
        <w:t xml:space="preserve"> отражаются виды деятельности, осуществляемые организацией в отчетном году, в соответствии с уставом.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</w:t>
      </w:r>
      <w:hyperlink w:history="0" w:anchor="P111" w:tooltip="Раздел 2. Источники и объемы формирования денежных средств">
        <w:r>
          <w:rPr>
            <w:sz w:val="20"/>
            <w:color w:val="0000ff"/>
          </w:rPr>
          <w:t xml:space="preserve">Разделе 2</w:t>
        </w:r>
      </w:hyperlink>
      <w:r>
        <w:rPr>
          <w:sz w:val="20"/>
        </w:rPr>
        <w:t xml:space="preserve"> "Источники и объемы формирования денежных средств и иного имущества организации" указываются денежные средства и иное имущество (стоимость, по которой оно принято на баланс), полученные религиозной организацией за отчетный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121" w:tooltip="40">
        <w:r>
          <w:rPr>
            <w:sz w:val="20"/>
            <w:color w:val="0000ff"/>
          </w:rPr>
          <w:t xml:space="preserve">строках 40</w:t>
        </w:r>
      </w:hyperlink>
      <w:r>
        <w:rPr>
          <w:sz w:val="20"/>
        </w:rPr>
        <w:t xml:space="preserve">, </w:t>
      </w:r>
      <w:hyperlink w:history="0" w:anchor="P127" w:tooltip="42">
        <w:r>
          <w:rPr>
            <w:sz w:val="20"/>
            <w:color w:val="0000ff"/>
          </w:rPr>
          <w:t xml:space="preserve">42</w:t>
        </w:r>
      </w:hyperlink>
      <w:r>
        <w:rPr>
          <w:sz w:val="20"/>
        </w:rPr>
        <w:t xml:space="preserve"> - </w:t>
      </w:r>
      <w:hyperlink w:history="0" w:anchor="P133" w:tooltip="44">
        <w:r>
          <w:rPr>
            <w:sz w:val="20"/>
            <w:color w:val="0000ff"/>
          </w:rPr>
          <w:t xml:space="preserve">44</w:t>
        </w:r>
      </w:hyperlink>
      <w:r>
        <w:rPr>
          <w:sz w:val="20"/>
        </w:rPr>
        <w:t xml:space="preserve"> указываются данные о целевых средствах, полученных религиозными организациями из федерального бюджета, бюджетов субъектов Российской Федерации, местных бюджетов, государственных внебюджетных фондов.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124" w:tooltip="41">
        <w:r>
          <w:rPr>
            <w:sz w:val="20"/>
            <w:color w:val="0000ff"/>
          </w:rPr>
          <w:t xml:space="preserve">строке 41</w:t>
        </w:r>
      </w:hyperlink>
      <w:r>
        <w:rPr>
          <w:sz w:val="20"/>
        </w:rPr>
        <w:t xml:space="preserve"> указываются данные о грантах, полученных от Фонда президентских грантов, Президентского фонда культурных инициатив за счет субсидий из федерального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Грантами в соответствии с </w:t>
      </w:r>
      <w:hyperlink w:history="0" r:id="rId16" w:tooltip="&quot;Налоговый кодекс Российской Федерации (часть вторая)&quot; от 05.08.2000 N 117-ФЗ (ред. от 04.08.2023) (с изм. и доп., вступ. в силу с 26.10.2023) {КонсультантПлюс}">
        <w:r>
          <w:rPr>
            <w:sz w:val="20"/>
            <w:color w:val="0000ff"/>
          </w:rPr>
          <w:t xml:space="preserve">подпунктом 14 пункта 1 статьи 251</w:t>
        </w:r>
      </w:hyperlink>
      <w:r>
        <w:rPr>
          <w:sz w:val="20"/>
        </w:rPr>
        <w:t xml:space="preserve"> Налогового кодекса Российской Федерации признаются денежные средства или иное имущество в случае, если их передача (получение) удовлетворяет следующим условиям: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гранты предоставляются на безвозмездной и безвозвратной основах российскими физическими лицами, некоммерческими организациями, а также иностранными и международными организациями и объединениями по перечню таких организаций, утверждаемому Правительством Российской Федерации, на осуществление конкретных программ в области образования, искусства, культуры, науки, физической культуры и спорта (за исключением профессионального спорта), охраны здоровья, охраны окружающей среды, защиты прав и свобод человека и гражданина, предусмотренных законодательством Российской Федерации, социального обслуживания малоимущих и социально незащищенных категорий граждан, а в случае предоставления грантов Президента Российской Федерации - на осуществление деятельности (программ, проектов), определенной актами Президента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гранты предоставляются на условиях, определяемых грантодателем, с обязательным предоставлением грантодателю отчета о целевом использовании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Строки с </w:t>
      </w:r>
      <w:hyperlink w:history="0" w:anchor="P136" w:tooltip="45">
        <w:r>
          <w:rPr>
            <w:sz w:val="20"/>
            <w:color w:val="0000ff"/>
          </w:rPr>
          <w:t xml:space="preserve">45</w:t>
        </w:r>
      </w:hyperlink>
      <w:r>
        <w:rPr>
          <w:sz w:val="20"/>
        </w:rPr>
        <w:t xml:space="preserve"> по </w:t>
      </w:r>
      <w:hyperlink w:history="0" w:anchor="P155" w:tooltip="51">
        <w:r>
          <w:rPr>
            <w:sz w:val="20"/>
            <w:color w:val="0000ff"/>
          </w:rPr>
          <w:t xml:space="preserve">51</w:t>
        </w:r>
      </w:hyperlink>
      <w:r>
        <w:rPr>
          <w:sz w:val="20"/>
        </w:rPr>
        <w:t xml:space="preserve"> заполняют религиозные организации, получившие в течение отчетного года денежные средства и иное имущество от международных и иностранных организаций, иностранных граждан, лиц без гражданства.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организация в течение отчетного года получила денежные средства только от российских юридических лиц и (или) граждан Российской Федерации, то </w:t>
      </w:r>
      <w:hyperlink w:history="0" w:anchor="P136" w:tooltip="45">
        <w:r>
          <w:rPr>
            <w:sz w:val="20"/>
            <w:color w:val="0000ff"/>
          </w:rPr>
          <w:t xml:space="preserve">строки 45</w:t>
        </w:r>
      </w:hyperlink>
      <w:r>
        <w:rPr>
          <w:sz w:val="20"/>
        </w:rPr>
        <w:t xml:space="preserve"> - </w:t>
      </w:r>
      <w:hyperlink w:history="0" w:anchor="P155" w:tooltip="51">
        <w:r>
          <w:rPr>
            <w:sz w:val="20"/>
            <w:color w:val="0000ff"/>
          </w:rPr>
          <w:t xml:space="preserve">51 раздела 2</w:t>
        </w:r>
      </w:hyperlink>
      <w:r>
        <w:rPr>
          <w:sz w:val="20"/>
        </w:rPr>
        <w:t xml:space="preserve"> не заполняются.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136" w:tooltip="45">
        <w:r>
          <w:rPr>
            <w:sz w:val="20"/>
            <w:color w:val="0000ff"/>
          </w:rPr>
          <w:t xml:space="preserve">строке 45</w:t>
        </w:r>
      </w:hyperlink>
      <w:r>
        <w:rPr>
          <w:sz w:val="20"/>
        </w:rPr>
        <w:t xml:space="preserve"> указываются данные о пожертвованиях, добровольных взносах, включая имущественные, и иных целевых поступлениях, грантах, поступивших безвозмездно в виде гуманитарной помощи и других безвозмездных поступлений. Пожертвованием согласно </w:t>
      </w:r>
      <w:hyperlink w:history="0" r:id="rId17" w:tooltip="&quot;Гражданский кодекс Российской Федерации (часть вторая)&quot; от 26.01.1996 N 14-ФЗ (ред. от 24.07.2023) (с изм. и доп., вступ. в силу с 12.09.2023) {КонсультантПлюс}">
        <w:r>
          <w:rPr>
            <w:sz w:val="20"/>
            <w:color w:val="0000ff"/>
          </w:rPr>
          <w:t xml:space="preserve">статье 582</w:t>
        </w:r>
      </w:hyperlink>
      <w:r>
        <w:rPr>
          <w:sz w:val="20"/>
        </w:rPr>
        <w:t xml:space="preserve"> Гражданского кодекса Российской Федерации признается дарение вещи или права в общеполезных целях.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143" w:tooltip="47">
        <w:r>
          <w:rPr>
            <w:sz w:val="20"/>
            <w:color w:val="0000ff"/>
          </w:rPr>
          <w:t xml:space="preserve">строке 47</w:t>
        </w:r>
      </w:hyperlink>
      <w:r>
        <w:rPr>
          <w:sz w:val="20"/>
        </w:rPr>
        <w:t xml:space="preserve"> указываются данные о денежных средствах или ином имуществе, полученном из-за рубежа от юридических лиц, а также грантах, технической помощи от иностранных государств.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заполнении </w:t>
      </w:r>
      <w:hyperlink w:history="0" w:anchor="P152" w:tooltip="50">
        <w:r>
          <w:rPr>
            <w:sz w:val="20"/>
            <w:color w:val="0000ff"/>
          </w:rPr>
          <w:t xml:space="preserve">строки 50</w:t>
        </w:r>
      </w:hyperlink>
      <w:r>
        <w:rPr>
          <w:sz w:val="20"/>
        </w:rPr>
        <w:t xml:space="preserve"> следует руководствоваться следующим. В соответствии со </w:t>
      </w:r>
      <w:hyperlink w:history="0" r:id="rId18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24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организациях", </w:t>
      </w:r>
      <w:hyperlink w:history="0" r:id="rId19" w:tooltip="Федеральный закон от 26.09.1997 N 125-ФЗ (ред. от 24.07.2023) &quot;О свободе совести и о религиозных объединениях&quot; {КонсультантПлюс}">
        <w:r>
          <w:rPr>
            <w:sz w:val="20"/>
            <w:color w:val="0000ff"/>
          </w:rPr>
          <w:t xml:space="preserve">статьей 23</w:t>
        </w:r>
      </w:hyperlink>
      <w:r>
        <w:rPr>
          <w:sz w:val="20"/>
        </w:rPr>
        <w:t xml:space="preserve"> Федерального закона от 26 сентября 1997 г. N 125-ФЗ "О свободе совести и о религиозных объединениях" религиозная организация может осуществлять предпринимательскую и иную приносящую доход деятельность лишь постольку, поскольку это служит достижению целей, ради которых она создана и соответствует указанным целям, при условии, что такая деятельность указана в его учредительных документах. Такой деятельностью признаются приносящее прибыль производство товаров и услуг, отвечающих целям создания организации,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 Некоммерческая организация ведет учет доходов и расходов по предпринимательской и иной приносящей доходы деятельности.</w:t>
      </w:r>
    </w:p>
    <w:p>
      <w:pPr>
        <w:pStyle w:val="0"/>
        <w:spacing w:before="200" w:line-rule="auto"/>
        <w:ind w:firstLine="540"/>
        <w:jc w:val="both"/>
      </w:pPr>
      <w:hyperlink w:history="0" r:id="rId20" w:tooltip="Приказ Минфина России от 06.05.1999 N 32н (ред. от 27.11.2020) &quot;Об утверждении Положения по бухгалтерскому учету &quot;Доходы организации&quot; ПБУ 9/99&quot; (Зарегистрировано в Минюсте России 31.05.1999 N 1791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по бухгалтерскому учету "Доходы организации" ПБУ 9/99, утвержденным приказом Минфина России от 6 мая 1999 г. N 32н (зарегистрирован Минюстом России 31 мая 1999 г., регистрационный N 1791) (далее - Положение по бухгалтерскому учету "Доходы организации" ПБУ 9/99) установлено, что не признаются доходами организации поступления: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 налога на добавленную стоимость, акцизов, налога с продаж, экспортных пошлин и иных аналогичных обязательных платежей;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договорам комиссии, агентским и иным аналогичным договорам в пользу комитента, принципала и тому подобных;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порядке предварительной оплаты продукции, товаров, работ,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авансов в счет оплаты продукции, товаров, работ,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залог, если договором предусмотрена передача заложенного имущества залогодержателю;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погашение кредита, займа, предоставленного заемщику.</w:t>
      </w:r>
    </w:p>
    <w:p>
      <w:pPr>
        <w:pStyle w:val="0"/>
        <w:spacing w:before="200" w:line-rule="auto"/>
        <w:ind w:firstLine="540"/>
        <w:jc w:val="both"/>
      </w:pPr>
      <w:hyperlink w:history="0" r:id="rId21" w:tooltip="Приказ Минфина России от 06.05.1999 N 32н (ред. от 27.11.2020) &quot;Об утверждении Положения по бухгалтерскому учету &quot;Доходы организации&quot; ПБУ 9/99&quot; (Зарегистрировано в Минюсте России 31.05.1999 N 1791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по бухгалтерскому учету "Доходы организации" ПБУ 9/99 установлено, что к доходам относятся выручка от продажи продукции и товаров, поступления, связанные с выполнением работ, оказанием услуг; поступления, связанные с предоставлением за плату во временное пользование (временное владение и пользование) активов организации; поступления, связанные с предоставлением за плату прав, возникающих из патентов на изобретения, промышленные образцы и других видов интеллектуальной собственности; поступления, связанные с участием в уставных капиталах других организаций (включая проценты и иные доходы по ценным бумагам); прибыль, полученная организацией в результате совместной деятельности (по договору простого товарищества); поступления от продажи основных средств и иных активов, отличных от денежных средств (кроме иностранной валюты); проценты, полученные за предоставление в пользование денежных средств организации, а также проценты за использование банком денежных средств, находящихся на счете организации в этом банке; штрафы, пени, неустойки за нарушение условий договоров; активы, полученные безвозмездно, в том числе по договору дарения; поступления в возмещение причиненных организации убытков; прибыль прошлых лет, выявленная в отчетном году; суммы кредиторской и депонентской задолженности, по которым истек срок исковой давности; курсовые разницы; сумма дооценки активов; прочие доходы.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155" w:tooltip="51">
        <w:r>
          <w:rPr>
            <w:sz w:val="20"/>
            <w:color w:val="0000ff"/>
          </w:rPr>
          <w:t xml:space="preserve">строке 51</w:t>
        </w:r>
      </w:hyperlink>
      <w:r>
        <w:rPr>
          <w:sz w:val="20"/>
        </w:rPr>
        <w:t xml:space="preserve"> указываются данные об иных поступлениях, не отраженных в </w:t>
      </w:r>
      <w:hyperlink w:history="0" w:anchor="P121" w:tooltip="40">
        <w:r>
          <w:rPr>
            <w:sz w:val="20"/>
            <w:color w:val="0000ff"/>
          </w:rPr>
          <w:t xml:space="preserve">строках 40</w:t>
        </w:r>
      </w:hyperlink>
      <w:r>
        <w:rPr>
          <w:sz w:val="20"/>
        </w:rPr>
        <w:t xml:space="preserve"> - </w:t>
      </w:r>
      <w:hyperlink w:history="0" w:anchor="P152" w:tooltip="50">
        <w:r>
          <w:rPr>
            <w:sz w:val="20"/>
            <w:color w:val="0000ff"/>
          </w:rPr>
          <w:t xml:space="preserve">50</w:t>
        </w:r>
      </w:hyperlink>
      <w:r>
        <w:rPr>
          <w:sz w:val="20"/>
        </w:rPr>
        <w:t xml:space="preserve">, в частности, возврат займов, предоставленных другим лицам; средства, формирующие в соответствии с Жилищным </w:t>
      </w:r>
      <w:hyperlink w:history="0" r:id="rId22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фонд капитального ремонта общего имущества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</w:t>
      </w:r>
      <w:hyperlink w:history="0" w:anchor="P161" w:tooltip="Раздел 3. Использование денежных средств и иного">
        <w:r>
          <w:rPr>
            <w:sz w:val="20"/>
            <w:color w:val="0000ff"/>
          </w:rPr>
          <w:t xml:space="preserve">Разделе 3</w:t>
        </w:r>
      </w:hyperlink>
      <w:r>
        <w:rPr>
          <w:sz w:val="20"/>
        </w:rPr>
        <w:t xml:space="preserve"> "Использование денежных средств и иного имущества религиозной организацией, получившей денежные средства и иное имущество от международных иностранных организаций, иностранных граждан и лиц без гражданства" указываются расходы религиозной организации за счет источников, указанных в </w:t>
      </w:r>
      <w:hyperlink w:history="0" w:anchor="P111" w:tooltip="Раздел 2. Источники и объемы формирования денежных средств">
        <w:r>
          <w:rPr>
            <w:sz w:val="20"/>
            <w:color w:val="0000ff"/>
          </w:rPr>
          <w:t xml:space="preserve">разделе 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организация в течение отчетного года получила денежные средства только от российских юридических лиц и (или) граждан Российской Федерации, то </w:t>
      </w:r>
      <w:hyperlink w:history="0" w:anchor="P161" w:tooltip="Раздел 3. Использование денежных средств и иного">
        <w:r>
          <w:rPr>
            <w:sz w:val="20"/>
            <w:color w:val="0000ff"/>
          </w:rPr>
          <w:t xml:space="preserve">раздел 3</w:t>
        </w:r>
      </w:hyperlink>
      <w:r>
        <w:rPr>
          <w:sz w:val="20"/>
        </w:rPr>
        <w:t xml:space="preserve"> не заполняется.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174" w:tooltip="52">
        <w:r>
          <w:rPr>
            <w:sz w:val="20"/>
            <w:color w:val="0000ff"/>
          </w:rPr>
          <w:t xml:space="preserve">строке 52</w:t>
        </w:r>
      </w:hyperlink>
      <w:r>
        <w:rPr>
          <w:sz w:val="20"/>
        </w:rPr>
        <w:t xml:space="preserve"> указываются данные о расходах по видам деятельности, определенным как основные в соответствии с </w:t>
      </w:r>
      <w:hyperlink w:history="0" r:id="rId23" w:tooltip="Приказ Минюста России от 30.09.2021 N 185 (ред. от 09.08.2023) &quot;О формах и сроках представления в Министерство юстиции Российской Федерации отчетности некоммерческих организаций&quot; (Зарегистрировано в Минюсте России 30.09.2021 N 65199) (с изм. и доп., вступ. в силу с 01.09.2023) {КонсультантПлюс}">
        <w:r>
          <w:rPr>
            <w:sz w:val="20"/>
            <w:color w:val="0000ff"/>
          </w:rPr>
          <w:t xml:space="preserve">формой N ОР0001</w:t>
        </w:r>
      </w:hyperlink>
      <w:r>
        <w:rPr>
          <w:sz w:val="20"/>
        </w:rPr>
        <w:t xml:space="preserve"> отчета, утвержденного приказом Минюста России от 30 сентября 2021 г. N 185 "О формах и сроках представления в Министерство юстиции Российской Федерации отчетности некоммерческих организаций".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177" w:tooltip="53">
        <w:r>
          <w:rPr>
            <w:sz w:val="20"/>
            <w:color w:val="0000ff"/>
          </w:rPr>
          <w:t xml:space="preserve">строке 53</w:t>
        </w:r>
      </w:hyperlink>
      <w:r>
        <w:rPr>
          <w:sz w:val="20"/>
        </w:rPr>
        <w:t xml:space="preserve"> указываются данные о расходах на социальную и благотворительную помощь в виде пособий, взносов, финансирования соответствующих программ, а также расходах на приобретение товаров, оплату услуг, которые предоставляются юридическим и физическим лицам в натуральной форме путем безвозмездной передачи в собственность продуктов, одежды, лекарственных препаратов, медицинских изделий, технических средств реабилитации и (или) иных вещей.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</w:t>
      </w:r>
      <w:hyperlink w:history="0" w:anchor="P189" w:tooltip="Раздел 4. &lt;1&gt; Численность, начисленная заработная">
        <w:r>
          <w:rPr>
            <w:sz w:val="20"/>
            <w:color w:val="0000ff"/>
          </w:rPr>
          <w:t xml:space="preserve">Разделе 4</w:t>
        </w:r>
      </w:hyperlink>
      <w:r>
        <w:rPr>
          <w:sz w:val="20"/>
        </w:rPr>
        <w:t xml:space="preserve"> "Численность, начисленная заработная плата, выплаты социального характера и страховые взносы на обязательное социальное страхование" сведения о занятых в осуществлении религиозной деятельности не отражаются.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200" w:tooltip="60">
        <w:r>
          <w:rPr>
            <w:sz w:val="20"/>
            <w:color w:val="0000ff"/>
          </w:rPr>
          <w:t xml:space="preserve">строке 60</w:t>
        </w:r>
      </w:hyperlink>
      <w:r>
        <w:rPr>
          <w:sz w:val="20"/>
        </w:rPr>
        <w:t xml:space="preserve"> указываются данные о среднесписочной численности работников (без внешних совместителей и работников несписочного состава).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Среднесписочная численность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Среднесписочная численность работников за месяц исчисляется путем суммирования списочной численности работников за каждый календарный день месяца, то есть с 1 по 30 или 31 число (для февраля - по 28 или 29 число), включая праздничные (нерабочие) и выходные дни, и деления полученной суммы на число календарных дней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</w:t>
      </w:r>
      <w:hyperlink w:history="0" w:anchor="P203" w:tooltip="61">
        <w:r>
          <w:rPr>
            <w:sz w:val="20"/>
            <w:color w:val="0000ff"/>
          </w:rPr>
          <w:t xml:space="preserve">строке 61</w:t>
        </w:r>
      </w:hyperlink>
      <w:r>
        <w:rPr>
          <w:sz w:val="20"/>
        </w:rPr>
        <w:t xml:space="preserve"> в фонд заработной платы включаются начисленные организациями суммы оплаты труда в денежной и неденежной формах за отработанное и неотработанное время, компенсационные выплаты, связанные с условиями труда и режимом работы, доплаты и надбавки, премии, единовременные поощрительные выплаты, а также оплата питания и проживания, имеющая систематический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216" w:tooltip="65">
        <w:r>
          <w:rPr>
            <w:sz w:val="20"/>
            <w:color w:val="0000ff"/>
          </w:rPr>
          <w:t xml:space="preserve">строке 65</w:t>
        </w:r>
      </w:hyperlink>
      <w:r>
        <w:rPr>
          <w:sz w:val="20"/>
        </w:rPr>
        <w:t xml:space="preserve"> указываются данные о выплатах социального характера всех работников, которые включают суммы средств, связанные с предоставленными работникам социальными льготами, в частности, на лечение, отдых, проезд, трудоустройство (без пособий из государственных внебюджетных фондов).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Подробная информация о среднесписочной численности работников, фонде заработной платы и вознаграждениях, а также выплатах социального характера приведена в </w:t>
      </w:r>
      <w:hyperlink w:history="0" r:id="rId24" w:tooltip="Приказ Росстата от 30.11.2022 N 872 &quot;Об утверждении Указаний по заполнению форм федерального статистического наблюдения N П-1 &quot;Сведения о производстве и отгрузке товаров и услуг&quot;, N П-2 &quot;Сведения об инвестициях в нефинансовые активы&quot;, N П-3 &quot;Сведения о финансовом состоянии организации&quot;, N П-4 &quot;Сведения о численности и заработной плате работников&quot;, N П-5(м) &quot;Основные сведения о деятельности организации&quot; {КонсультантПлюс}">
        <w:r>
          <w:rPr>
            <w:sz w:val="20"/>
            <w:color w:val="0000ff"/>
          </w:rPr>
          <w:t xml:space="preserve">Указаниях</w:t>
        </w:r>
      </w:hyperlink>
      <w:r>
        <w:rPr>
          <w:sz w:val="20"/>
        </w:rPr>
        <w:t xml:space="preserve"> по заполнению форм федерального статистического наблюдения N П-1 "Сведения о производстве и отгрузке товаров и услуг", N П-2 "Сведения об инвестициях в нефинансовые активы", N П-3 "Сведения о финансовом состоянии организации", N П-4 "Сведения о численности и заработной плате работников", N П-5(м) "Основные сведения о деятельности организации", размещенных на официальном сайте Росстата в информационно-телекоммуникационной сети "Интернет" по адресу: </w:t>
      </w:r>
      <w:r>
        <w:rPr>
          <w:sz w:val="20"/>
        </w:rPr>
        <w:t xml:space="preserve">https://rosstat.gov.ru/</w:t>
      </w:r>
      <w:r>
        <w:rPr>
          <w:sz w:val="20"/>
        </w:rPr>
        <w:t xml:space="preserve"> Главная страница/ 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наблюдения/ Поиск по формам: П-4.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219" w:tooltip="66">
        <w:r>
          <w:rPr>
            <w:sz w:val="20"/>
            <w:color w:val="0000ff"/>
          </w:rPr>
          <w:t xml:space="preserve">строке 66</w:t>
        </w:r>
      </w:hyperlink>
      <w:r>
        <w:rPr>
          <w:sz w:val="20"/>
        </w:rPr>
        <w:t xml:space="preserve"> указываются данные о страховых и других взносах на обязательное пенсионное страхование; страховых взносах на обязательное социальное страхование на случай временной нетрудоспособности и в связи с материнством и детством; страховых взносах на обязательное медицинское страхование работающего населения; страховых взносах на обязательное страхование от несчастных случаев на производстве и профзаболеваний работников (включая работников списочного состава (без внешних совместителей), внешних совместителей, выполнявших работы по договорам гражданско-правового характера).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</w:t>
      </w:r>
      <w:hyperlink w:history="0" w:anchor="P225" w:tooltip="Раздел 5. &lt;1&gt; Наличие, движение и состав основных фондов,">
        <w:r>
          <w:rPr>
            <w:sz w:val="20"/>
            <w:color w:val="0000ff"/>
          </w:rPr>
          <w:t xml:space="preserve">Разделе 5</w:t>
        </w:r>
      </w:hyperlink>
      <w:r>
        <w:rPr>
          <w:sz w:val="20"/>
        </w:rPr>
        <w:t xml:space="preserve"> "Наличие, движение и состав основных фондов" по </w:t>
      </w:r>
      <w:hyperlink w:history="0" w:anchor="P244" w:tooltip="70">
        <w:r>
          <w:rPr>
            <w:sz w:val="20"/>
            <w:color w:val="0000ff"/>
          </w:rPr>
          <w:t xml:space="preserve">строкам 70</w:t>
        </w:r>
      </w:hyperlink>
      <w:r>
        <w:rPr>
          <w:sz w:val="20"/>
        </w:rPr>
        <w:t xml:space="preserve"> - </w:t>
      </w:r>
      <w:hyperlink w:history="0" w:anchor="P280" w:tooltip="75">
        <w:r>
          <w:rPr>
            <w:sz w:val="20"/>
            <w:color w:val="0000ff"/>
          </w:rPr>
          <w:t xml:space="preserve">75</w:t>
        </w:r>
      </w:hyperlink>
      <w:r>
        <w:rPr>
          <w:sz w:val="20"/>
        </w:rPr>
        <w:t xml:space="preserve"> отражаются данные о наличии, движении и составе основных фондов. Состав основных фондов определен Общероссийским </w:t>
      </w:r>
      <w:hyperlink w:history="0" r:id="rId25" w:tooltip="&quot;ОК 013-2014 (СНС 2008). Общероссийский классификатор основных фондов&quot; (принят и введен в действие Приказом Росстандарта от 12.12.2014 N 2018-ст) (ред. от 19.09.2023) {КонсультантПлюс}">
        <w:r>
          <w:rPr>
            <w:sz w:val="20"/>
            <w:color w:val="0000ff"/>
          </w:rPr>
          <w:t xml:space="preserve">классификатором</w:t>
        </w:r>
      </w:hyperlink>
      <w:r>
        <w:rPr>
          <w:sz w:val="20"/>
        </w:rPr>
        <w:t xml:space="preserve"> основных фондов (ОКОФ) ОК 013-2014 (СНС 2008), введенным в действие с 1 января 2017 г. </w:t>
      </w:r>
      <w:hyperlink w:history="0" r:id="rId26" w:tooltip="Приказ Росстандарта от 12.12.2014 N 2018-ст (ред. от 10.11.2015) &quot;О принятии и введении в действие Общероссийского классификатора основных фондов (ОКОФ) ОК 013-2014 (СНС 2008)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Росстандарта от 12 декабря 2014 г. N 2018-ст.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238" w:tooltip="3">
        <w:r>
          <w:rPr>
            <w:sz w:val="20"/>
            <w:color w:val="0000ff"/>
          </w:rPr>
          <w:t xml:space="preserve">графе 3</w:t>
        </w:r>
      </w:hyperlink>
      <w:r>
        <w:rPr>
          <w:sz w:val="20"/>
        </w:rPr>
        <w:t xml:space="preserve"> указываются данные о наличии основных фондов на начало года по полной учетной стоимости.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239" w:tooltip="4">
        <w:r>
          <w:rPr>
            <w:sz w:val="20"/>
            <w:color w:val="0000ff"/>
          </w:rPr>
          <w:t xml:space="preserve">графе 4</w:t>
        </w:r>
      </w:hyperlink>
      <w:r>
        <w:rPr>
          <w:sz w:val="20"/>
        </w:rPr>
        <w:t xml:space="preserve"> указываются данные об увеличении полной учетной стоимости основных фондов за отчетный год за счет создания новой стоимости, то есть принятия к бухгалтерскому учету в отчетном году: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ввода в действие новых объектов основных фондов (не относившихся ранее к основным фондам) при их приобретении, сооружении и изготовлении;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внесения учредителями новых основных фондов в счет их вкладов в уставный (складочный) капитал;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по договору дарения и иных случаях безвозмездного получения; при других поступлениях;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достройки, модернизации, реконструкции имеющихся объектов основных фондов.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240" w:tooltip="5">
        <w:r>
          <w:rPr>
            <w:sz w:val="20"/>
            <w:color w:val="0000ff"/>
          </w:rPr>
          <w:t xml:space="preserve">графе 5</w:t>
        </w:r>
      </w:hyperlink>
      <w:r>
        <w:rPr>
          <w:sz w:val="20"/>
        </w:rPr>
        <w:t xml:space="preserve"> учитывается наличие основных фондов на конец года по полной учетной стоимости, в </w:t>
      </w:r>
      <w:hyperlink w:history="0" w:anchor="P241" w:tooltip="6">
        <w:r>
          <w:rPr>
            <w:sz w:val="20"/>
            <w:color w:val="0000ff"/>
          </w:rPr>
          <w:t xml:space="preserve">графе 6</w:t>
        </w:r>
      </w:hyperlink>
      <w:r>
        <w:rPr>
          <w:sz w:val="20"/>
        </w:rPr>
        <w:t xml:space="preserve"> - по остаточной балансовой стоимости.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242" w:tooltip="7">
        <w:r>
          <w:rPr>
            <w:sz w:val="20"/>
            <w:color w:val="0000ff"/>
          </w:rPr>
          <w:t xml:space="preserve">графе 7</w:t>
        </w:r>
      </w:hyperlink>
      <w:r>
        <w:rPr>
          <w:sz w:val="20"/>
        </w:rPr>
        <w:t xml:space="preserve"> указываются данные об инвестициях в основной капитал: затраты на 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производственного и хозяйственного инвентаря, бухгалтерский учет которых осуществляется в порядке, установленном для учета вложений во внеоборотные активы, инвестиции в объекты интеллектуальной собственности; культивируемые биологические ресурсы. По данной графе также отражаются затраты на приобретение поступивших по импорту основных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полной учетной стоимостью основных фондов некоммерческих организаций в статистике понимается их отражаемая в бухгалтерском учете первоначальная стоимость, измененная в ходе проведенных переоценок основных фондов и в других случаях, предусмотренных действующими нормативными актами по учету основных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Полная учетная стоимость для прошедших переоценку объектов основных фондов равна их восстановительной стоимости на дату последней проведенной переоценки, то есть стоимости воспроизводства в ценах, существовавших на эту дату. Для объектов, не проходивших переоценки, она равна первоначальной стоимости (стоимости приобретения в ценах, существовавших на дату приобретения), с учетом ее изменения в результате достройки, дооборудования, реконструкции и частичной ликвидации.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остаточной балансовой стоимостью понимается разница их полной учетной стоимости и величины учетного износа, начисленного за весь период с начала эксплуатации соответствующих объектов, с учетом их изменения в результате проведенных переоценок основных фондов.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244" w:tooltip="70">
        <w:r>
          <w:rPr>
            <w:sz w:val="20"/>
            <w:color w:val="0000ff"/>
          </w:rPr>
          <w:t xml:space="preserve">строке 70</w:t>
        </w:r>
      </w:hyperlink>
      <w:r>
        <w:rPr>
          <w:sz w:val="20"/>
        </w:rPr>
        <w:t xml:space="preserve"> указываются данные о всех основных фондах (за исключением земельных участков и объектов природопользования) организации, кроме незавершенных активов, находящиеся у нее на правах собственности, хозяйственного ведения, оперативного управления, договора аренды, договора финансовой аренды, и учитываемые ею на счетах учета основных средств, а также объекты интеллектуальной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</w:t>
      </w:r>
      <w:hyperlink w:history="0" w:anchor="P252" w:tooltip="71">
        <w:r>
          <w:rPr>
            <w:sz w:val="20"/>
            <w:color w:val="0000ff"/>
          </w:rPr>
          <w:t xml:space="preserve">строкам 71</w:t>
        </w:r>
      </w:hyperlink>
      <w:r>
        <w:rPr>
          <w:sz w:val="20"/>
        </w:rPr>
        <w:t xml:space="preserve"> - </w:t>
      </w:r>
      <w:hyperlink w:history="0" w:anchor="P280" w:tooltip="75">
        <w:r>
          <w:rPr>
            <w:sz w:val="20"/>
            <w:color w:val="0000ff"/>
          </w:rPr>
          <w:t xml:space="preserve">75</w:t>
        </w:r>
      </w:hyperlink>
      <w:r>
        <w:rPr>
          <w:sz w:val="20"/>
        </w:rPr>
        <w:t xml:space="preserve"> все основные фонды организации распределяются по видовой структуре согласно ОКОФ.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по жилым и нежилым зданиям учитываются по </w:t>
      </w:r>
      <w:hyperlink w:history="0" w:anchor="P252" w:tooltip="71">
        <w:r>
          <w:rPr>
            <w:sz w:val="20"/>
            <w:color w:val="0000ff"/>
          </w:rPr>
          <w:t xml:space="preserve">строке 71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Здания, учитываемые в составе основных фондов, имеют в качестве основных конструктивных частей стены и крышу. Определение жилых и нежилых зданий, как и других видов основных фондов, приведено во введении к ОКОФ. Помимо жилых и нежилых зданий по </w:t>
      </w:r>
      <w:hyperlink w:history="0" w:anchor="P252" w:tooltip="71">
        <w:r>
          <w:rPr>
            <w:sz w:val="20"/>
            <w:color w:val="0000ff"/>
          </w:rPr>
          <w:t xml:space="preserve">строке 71</w:t>
        </w:r>
      </w:hyperlink>
      <w:r>
        <w:rPr>
          <w:sz w:val="20"/>
        </w:rPr>
        <w:t xml:space="preserve"> отражаются жилые и нежилые помещения, а также квартиры. При этом здания церквей, монастырей относятся к нежилым зданиям.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по сооружениям учитываются по </w:t>
      </w:r>
      <w:hyperlink w:history="0" w:anchor="P259" w:tooltip="72">
        <w:r>
          <w:rPr>
            <w:sz w:val="20"/>
            <w:color w:val="0000ff"/>
          </w:rPr>
          <w:t xml:space="preserve">строке 72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Примерами сооружений могут служить такие объекты, как автомобильные, железные дороги, плотины и другие гидротехнические сооружения; линии связи и электропередачи; местные трубопроводы и сооружения для отдыха, развлечений и проведения досуга.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Сооружения являются объектами, прочно связанными с землей. Например, различного рода емкости для хранения различного рода веществ, установленные на фундаменты или иным способом прочно связанные с землей, относятся к сооружениям. Фундаменты под ними входят в состав данных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</w:t>
      </w:r>
      <w:hyperlink w:history="0" w:anchor="P266" w:tooltip="73">
        <w:r>
          <w:rPr>
            <w:sz w:val="20"/>
            <w:color w:val="0000ff"/>
          </w:rPr>
          <w:t xml:space="preserve">строке 73</w:t>
        </w:r>
      </w:hyperlink>
      <w:r>
        <w:rPr>
          <w:sz w:val="20"/>
        </w:rPr>
        <w:t xml:space="preserve"> учитываются машины и оборудование, включая относящееся к оборудованию для информационно-телекоммуникационных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</w:t>
      </w:r>
      <w:hyperlink w:history="0" w:anchor="P273" w:tooltip="74">
        <w:r>
          <w:rPr>
            <w:sz w:val="20"/>
            <w:color w:val="0000ff"/>
          </w:rPr>
          <w:t xml:space="preserve">строке 74</w:t>
        </w:r>
      </w:hyperlink>
      <w:r>
        <w:rPr>
          <w:sz w:val="20"/>
        </w:rPr>
        <w:t xml:space="preserve"> учитываются транспортные средства, к которым, в соответствии с ОКОФ, относятся средства передвижения, предназначенные для перемещения людей и грузов: грузовые, легковые автомобили, тракторы, прицепы и полуприцепы, автобусы, локомотивы, вагоны, суда и прочие.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</w:t>
      </w:r>
      <w:hyperlink w:history="0" w:anchor="P280" w:tooltip="75">
        <w:r>
          <w:rPr>
            <w:sz w:val="20"/>
            <w:color w:val="0000ff"/>
          </w:rPr>
          <w:t xml:space="preserve">строке 75</w:t>
        </w:r>
      </w:hyperlink>
      <w:r>
        <w:rPr>
          <w:sz w:val="20"/>
        </w:rPr>
        <w:t xml:space="preserve"> учитываются другие, не перечисленные в </w:t>
      </w:r>
      <w:hyperlink w:history="0" w:anchor="P252" w:tooltip="71">
        <w:r>
          <w:rPr>
            <w:sz w:val="20"/>
            <w:color w:val="0000ff"/>
          </w:rPr>
          <w:t xml:space="preserve">строках 71</w:t>
        </w:r>
      </w:hyperlink>
      <w:r>
        <w:rPr>
          <w:sz w:val="20"/>
        </w:rPr>
        <w:t xml:space="preserve"> - </w:t>
      </w:r>
      <w:hyperlink w:history="0" w:anchor="P273" w:tooltip="74">
        <w:r>
          <w:rPr>
            <w:sz w:val="20"/>
            <w:color w:val="0000ff"/>
          </w:rPr>
          <w:t xml:space="preserve">74</w:t>
        </w:r>
      </w:hyperlink>
      <w:r>
        <w:rPr>
          <w:sz w:val="20"/>
        </w:rPr>
        <w:t xml:space="preserve">, виды основных фондов. К ним относятся культивируемые биологические ресурсы, неоднократно дающие продукцию животного и растительного происхождения, объекты, относящиеся к интеллектуальной собственности и результатам интеллектуальной деятельности, расходы на улучшение и передачу прав на землю, хозяйственный инвентарь и прочие.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Контроль показателей формы: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18"/>
        <w:gridCol w:w="4518"/>
      </w:tblGrid>
      <w:tr>
        <w:tc>
          <w:tcPr>
            <w:tcW w:w="45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если заполнены стр. с </w:t>
            </w:r>
            <w:hyperlink w:history="0" w:anchor="P200" w:tooltip="60">
              <w:r>
                <w:rPr>
                  <w:sz w:val="20"/>
                  <w:color w:val="0000ff"/>
                </w:rPr>
                <w:t xml:space="preserve">60</w:t>
              </w:r>
            </w:hyperlink>
            <w:r>
              <w:rPr>
                <w:sz w:val="20"/>
              </w:rPr>
              <w:t xml:space="preserve"> по </w:t>
            </w:r>
            <w:hyperlink w:history="0" w:anchor="P219" w:tooltip="66">
              <w:r>
                <w:rPr>
                  <w:sz w:val="20"/>
                  <w:color w:val="0000ff"/>
                </w:rPr>
                <w:t xml:space="preserve">66</w:t>
              </w:r>
            </w:hyperlink>
            <w:r>
              <w:rPr>
                <w:sz w:val="20"/>
              </w:rPr>
              <w:t xml:space="preserve"> гр. 3 или стр. с </w:t>
            </w:r>
            <w:hyperlink w:history="0" w:anchor="P244" w:tooltip="70">
              <w:r>
                <w:rPr>
                  <w:sz w:val="20"/>
                  <w:color w:val="0000ff"/>
                </w:rPr>
                <w:t xml:space="preserve">70</w:t>
              </w:r>
            </w:hyperlink>
            <w:r>
              <w:rPr>
                <w:sz w:val="20"/>
              </w:rPr>
              <w:t xml:space="preserve"> по </w:t>
            </w:r>
            <w:hyperlink w:history="0" w:anchor="P280" w:tooltip="75">
              <w:r>
                <w:rPr>
                  <w:sz w:val="20"/>
                  <w:color w:val="0000ff"/>
                </w:rPr>
                <w:t xml:space="preserve">75</w:t>
              </w:r>
            </w:hyperlink>
            <w:r>
              <w:rPr>
                <w:sz w:val="20"/>
              </w:rPr>
              <w:t xml:space="preserve"> гр. 3, 4, 5, 6, 7, то должна быть обведена хотя бы одна строка с </w:t>
            </w:r>
            <w:hyperlink w:history="0" w:anchor="P75" w:tooltip="01">
              <w:r>
                <w:rPr>
                  <w:sz w:val="20"/>
                  <w:color w:val="0000ff"/>
                </w:rPr>
                <w:t xml:space="preserve">01</w:t>
              </w:r>
            </w:hyperlink>
            <w:r>
              <w:rPr>
                <w:sz w:val="20"/>
              </w:rPr>
              <w:t xml:space="preserve"> по </w:t>
            </w:r>
            <w:hyperlink w:history="0" w:anchor="P108" w:tooltip="31">
              <w:r>
                <w:rPr>
                  <w:sz w:val="20"/>
                  <w:color w:val="0000ff"/>
                </w:rPr>
                <w:t xml:space="preserve">31</w:t>
              </w:r>
            </w:hyperlink>
          </w:p>
        </w:tc>
        <w:tc>
          <w:tcPr>
            <w:tcW w:w="45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 </w:t>
            </w:r>
            <w:hyperlink w:history="0" w:anchor="P203" w:tooltip="61">
              <w:r>
                <w:rPr>
                  <w:sz w:val="20"/>
                  <w:color w:val="0000ff"/>
                </w:rPr>
                <w:t xml:space="preserve">стр. 61</w:t>
              </w:r>
            </w:hyperlink>
            <w:r>
              <w:rPr>
                <w:sz w:val="20"/>
              </w:rPr>
              <w:t xml:space="preserve"> гр. 3 = сумме стр. с </w:t>
            </w:r>
            <w:hyperlink w:history="0" w:anchor="P207" w:tooltip="62">
              <w:r>
                <w:rPr>
                  <w:sz w:val="20"/>
                  <w:color w:val="0000ff"/>
                </w:rPr>
                <w:t xml:space="preserve">62</w:t>
              </w:r>
            </w:hyperlink>
            <w:r>
              <w:rPr>
                <w:sz w:val="20"/>
              </w:rPr>
              <w:t xml:space="preserve"> по </w:t>
            </w:r>
            <w:hyperlink w:history="0" w:anchor="P213" w:tooltip="64">
              <w:r>
                <w:rPr>
                  <w:sz w:val="20"/>
                  <w:color w:val="0000ff"/>
                </w:rPr>
                <w:t xml:space="preserve">64</w:t>
              </w:r>
            </w:hyperlink>
            <w:r>
              <w:rPr>
                <w:sz w:val="20"/>
              </w:rPr>
              <w:t xml:space="preserve"> гр. 3</w:t>
            </w:r>
          </w:p>
        </w:tc>
      </w:tr>
      <w:tr>
        <w:tc>
          <w:tcPr>
            <w:tcW w:w="45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</w:t>
            </w:r>
            <w:hyperlink w:history="0" w:anchor="P136" w:tooltip="45">
              <w:r>
                <w:rPr>
                  <w:sz w:val="20"/>
                  <w:color w:val="0000ff"/>
                </w:rPr>
                <w:t xml:space="preserve">стр. 45</w:t>
              </w:r>
            </w:hyperlink>
            <w:r>
              <w:rPr>
                <w:sz w:val="20"/>
              </w:rPr>
              <w:t xml:space="preserve"> гр. 3 = сумме стр. с </w:t>
            </w:r>
            <w:hyperlink w:history="0" w:anchor="P140" w:tooltip="46">
              <w:r>
                <w:rPr>
                  <w:sz w:val="20"/>
                  <w:color w:val="0000ff"/>
                </w:rPr>
                <w:t xml:space="preserve">46</w:t>
              </w:r>
            </w:hyperlink>
            <w:r>
              <w:rPr>
                <w:sz w:val="20"/>
              </w:rPr>
              <w:t xml:space="preserve"> по </w:t>
            </w:r>
            <w:hyperlink w:history="0" w:anchor="P149" w:tooltip="49">
              <w:r>
                <w:rPr>
                  <w:sz w:val="20"/>
                  <w:color w:val="0000ff"/>
                </w:rPr>
                <w:t xml:space="preserve">49</w:t>
              </w:r>
            </w:hyperlink>
            <w:r>
              <w:rPr>
                <w:sz w:val="20"/>
              </w:rPr>
              <w:t xml:space="preserve"> гр. 3</w:t>
            </w:r>
          </w:p>
        </w:tc>
        <w:tc>
          <w:tcPr>
            <w:tcW w:w="45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 если </w:t>
            </w:r>
            <w:hyperlink w:history="0" w:anchor="P207" w:tooltip="62">
              <w:r>
                <w:rPr>
                  <w:sz w:val="20"/>
                  <w:color w:val="0000ff"/>
                </w:rPr>
                <w:t xml:space="preserve">стр. 62</w:t>
              </w:r>
            </w:hyperlink>
            <w:r>
              <w:rPr>
                <w:sz w:val="20"/>
              </w:rPr>
              <w:t xml:space="preserve"> &gt; 0, то </w:t>
            </w:r>
            <w:hyperlink w:history="0" w:anchor="P200" w:tooltip="60">
              <w:r>
                <w:rPr>
                  <w:sz w:val="20"/>
                  <w:color w:val="0000ff"/>
                </w:rPr>
                <w:t xml:space="preserve">стр. 60</w:t>
              </w:r>
            </w:hyperlink>
            <w:r>
              <w:rPr>
                <w:sz w:val="20"/>
              </w:rPr>
              <w:t xml:space="preserve"> &gt; 0</w:t>
            </w:r>
          </w:p>
        </w:tc>
      </w:tr>
      <w:tr>
        <w:tc>
          <w:tcPr>
            <w:tcW w:w="45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если </w:t>
            </w:r>
            <w:hyperlink w:history="0" w:anchor="P143" w:tooltip="47">
              <w:r>
                <w:rPr>
                  <w:sz w:val="20"/>
                  <w:color w:val="0000ff"/>
                </w:rPr>
                <w:t xml:space="preserve">стр. 47</w:t>
              </w:r>
            </w:hyperlink>
            <w:r>
              <w:rPr>
                <w:sz w:val="20"/>
              </w:rPr>
              <w:t xml:space="preserve"> + </w:t>
            </w:r>
            <w:hyperlink w:history="0" w:anchor="P149" w:tooltip="49">
              <w:r>
                <w:rPr>
                  <w:sz w:val="20"/>
                  <w:color w:val="0000ff"/>
                </w:rPr>
                <w:t xml:space="preserve">49</w:t>
              </w:r>
            </w:hyperlink>
            <w:r>
              <w:rPr>
                <w:sz w:val="20"/>
              </w:rPr>
              <w:t xml:space="preserve"> = 0, то </w:t>
            </w:r>
            <w:hyperlink w:history="0" w:anchor="P136" w:tooltip="45">
              <w:r>
                <w:rPr>
                  <w:sz w:val="20"/>
                  <w:color w:val="0000ff"/>
                </w:rPr>
                <w:t xml:space="preserve">стр. 45</w:t>
              </w:r>
            </w:hyperlink>
            <w:r>
              <w:rPr>
                <w:sz w:val="20"/>
              </w:rPr>
              <w:t xml:space="preserve">, </w:t>
            </w:r>
            <w:hyperlink w:history="0" w:anchor="P152" w:tooltip="50">
              <w:r>
                <w:rPr>
                  <w:sz w:val="20"/>
                  <w:color w:val="0000ff"/>
                </w:rPr>
                <w:t xml:space="preserve">50</w:t>
              </w:r>
            </w:hyperlink>
            <w:r>
              <w:rPr>
                <w:sz w:val="20"/>
              </w:rPr>
              <w:t xml:space="preserve">, </w:t>
            </w:r>
            <w:hyperlink w:history="0" w:anchor="P155" w:tooltip="51">
              <w:r>
                <w:rPr>
                  <w:sz w:val="20"/>
                  <w:color w:val="0000ff"/>
                </w:rPr>
                <w:t xml:space="preserve">51</w:t>
              </w:r>
            </w:hyperlink>
            <w:r>
              <w:rPr>
                <w:sz w:val="20"/>
              </w:rPr>
              <w:t xml:space="preserve">, </w:t>
            </w:r>
            <w:hyperlink w:history="0" w:anchor="P174" w:tooltip="52">
              <w:r>
                <w:rPr>
                  <w:sz w:val="20"/>
                  <w:color w:val="0000ff"/>
                </w:rPr>
                <w:t xml:space="preserve">52</w:t>
              </w:r>
            </w:hyperlink>
            <w:r>
              <w:rPr>
                <w:sz w:val="20"/>
              </w:rPr>
              <w:t xml:space="preserve">, </w:t>
            </w:r>
            <w:hyperlink w:history="0" w:anchor="P177" w:tooltip="53">
              <w:r>
                <w:rPr>
                  <w:sz w:val="20"/>
                  <w:color w:val="0000ff"/>
                </w:rPr>
                <w:t xml:space="preserve">53</w:t>
              </w:r>
            </w:hyperlink>
            <w:r>
              <w:rPr>
                <w:sz w:val="20"/>
              </w:rPr>
              <w:t xml:space="preserve">, </w:t>
            </w:r>
            <w:hyperlink w:history="0" w:anchor="P180" w:tooltip="54">
              <w:r>
                <w:rPr>
                  <w:sz w:val="20"/>
                  <w:color w:val="0000ff"/>
                </w:rPr>
                <w:t xml:space="preserve">54</w:t>
              </w:r>
            </w:hyperlink>
            <w:r>
              <w:rPr>
                <w:sz w:val="20"/>
              </w:rPr>
              <w:t xml:space="preserve">, </w:t>
            </w:r>
            <w:hyperlink w:history="0" w:anchor="P183" w:tooltip="55">
              <w:r>
                <w:rPr>
                  <w:sz w:val="20"/>
                  <w:color w:val="0000ff"/>
                </w:rPr>
                <w:t xml:space="preserve">55</w:t>
              </w:r>
            </w:hyperlink>
            <w:r>
              <w:rPr>
                <w:sz w:val="20"/>
              </w:rPr>
              <w:t xml:space="preserve">, </w:t>
            </w:r>
            <w:hyperlink w:history="0" w:anchor="P186" w:tooltip="56">
              <w:r>
                <w:rPr>
                  <w:sz w:val="20"/>
                  <w:color w:val="0000ff"/>
                </w:rPr>
                <w:t xml:space="preserve">56</w:t>
              </w:r>
            </w:hyperlink>
            <w:r>
              <w:rPr>
                <w:sz w:val="20"/>
              </w:rPr>
              <w:t xml:space="preserve"> гр. 3 = 0</w:t>
            </w:r>
          </w:p>
        </w:tc>
        <w:tc>
          <w:tcPr>
            <w:tcW w:w="45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 </w:t>
            </w:r>
            <w:hyperlink w:history="0" w:anchor="P244" w:tooltip="70">
              <w:r>
                <w:rPr>
                  <w:sz w:val="20"/>
                  <w:color w:val="0000ff"/>
                </w:rPr>
                <w:t xml:space="preserve">стр. 70</w:t>
              </w:r>
            </w:hyperlink>
            <w:r>
              <w:rPr>
                <w:sz w:val="20"/>
              </w:rPr>
              <w:t xml:space="preserve"> гр. 3, 4, 5, 6, 7 = сумме стр. с </w:t>
            </w:r>
            <w:hyperlink w:history="0" w:anchor="P252" w:tooltip="71">
              <w:r>
                <w:rPr>
                  <w:sz w:val="20"/>
                  <w:color w:val="0000ff"/>
                </w:rPr>
                <w:t xml:space="preserve">71</w:t>
              </w:r>
            </w:hyperlink>
            <w:r>
              <w:rPr>
                <w:sz w:val="20"/>
              </w:rPr>
              <w:t xml:space="preserve"> по </w:t>
            </w:r>
            <w:hyperlink w:history="0" w:anchor="P280" w:tooltip="75">
              <w:r>
                <w:rPr>
                  <w:sz w:val="20"/>
                  <w:color w:val="0000ff"/>
                </w:rPr>
                <w:t xml:space="preserve">75</w:t>
              </w:r>
            </w:hyperlink>
            <w:r>
              <w:rPr>
                <w:sz w:val="20"/>
              </w:rPr>
              <w:t xml:space="preserve"> гр. 3, 4, 5, 6, 7</w:t>
            </w:r>
          </w:p>
        </w:tc>
      </w:tr>
      <w:tr>
        <w:tc>
          <w:tcPr>
            <w:tcW w:w="45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</w:t>
            </w:r>
            <w:hyperlink w:history="0" w:anchor="P177" w:tooltip="53">
              <w:r>
                <w:rPr>
                  <w:sz w:val="20"/>
                  <w:color w:val="0000ff"/>
                </w:rPr>
                <w:t xml:space="preserve">стр. 53</w:t>
              </w:r>
            </w:hyperlink>
            <w:r>
              <w:rPr>
                <w:sz w:val="20"/>
              </w:rPr>
              <w:t xml:space="preserve"> гр. 3 </w:t>
            </w:r>
            <w:r>
              <w:rPr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w:history="0" w:anchor="P180" w:tooltip="54">
              <w:r>
                <w:rPr>
                  <w:sz w:val="20"/>
                  <w:color w:val="0000ff"/>
                </w:rPr>
                <w:t xml:space="preserve">стр. 54</w:t>
              </w:r>
            </w:hyperlink>
            <w:r>
              <w:rPr>
                <w:sz w:val="20"/>
              </w:rPr>
              <w:t xml:space="preserve"> гр. 3</w:t>
            </w:r>
          </w:p>
        </w:tc>
        <w:tc>
          <w:tcPr>
            <w:tcW w:w="45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 по стр. с </w:t>
            </w:r>
            <w:hyperlink w:history="0" w:anchor="P244" w:tooltip="70">
              <w:r>
                <w:rPr>
                  <w:sz w:val="20"/>
                  <w:color w:val="0000ff"/>
                </w:rPr>
                <w:t xml:space="preserve">70</w:t>
              </w:r>
            </w:hyperlink>
            <w:r>
              <w:rPr>
                <w:sz w:val="20"/>
              </w:rPr>
              <w:t xml:space="preserve"> по </w:t>
            </w:r>
            <w:hyperlink w:history="0" w:anchor="P280" w:tooltip="75">
              <w:r>
                <w:rPr>
                  <w:sz w:val="20"/>
                  <w:color w:val="0000ff"/>
                </w:rPr>
                <w:t xml:space="preserve">75</w:t>
              </w:r>
            </w:hyperlink>
            <w:r>
              <w:rPr>
                <w:sz w:val="20"/>
              </w:rPr>
              <w:t xml:space="preserve"> гр. 5 </w:t>
            </w:r>
            <w:r>
              <w:rPr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гр. 6</w:t>
            </w:r>
          </w:p>
        </w:tc>
      </w:tr>
      <w:tr>
        <w:tc>
          <w:tcPr>
            <w:tcW w:w="45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 </w:t>
            </w:r>
            <w:hyperlink w:history="0" w:anchor="P180" w:tooltip="54">
              <w:r>
                <w:rPr>
                  <w:sz w:val="20"/>
                  <w:color w:val="0000ff"/>
                </w:rPr>
                <w:t xml:space="preserve">стр. 54</w:t>
              </w:r>
            </w:hyperlink>
            <w:r>
              <w:rPr>
                <w:sz w:val="20"/>
              </w:rPr>
              <w:t xml:space="preserve"> гр. 3 </w:t>
            </w:r>
            <w:r>
              <w:rPr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hyperlink w:history="0" w:anchor="P183" w:tooltip="55">
              <w:r>
                <w:rPr>
                  <w:sz w:val="20"/>
                  <w:color w:val="0000ff"/>
                </w:rPr>
                <w:t xml:space="preserve">стр. 55</w:t>
              </w:r>
            </w:hyperlink>
            <w:r>
              <w:rPr>
                <w:sz w:val="20"/>
              </w:rPr>
              <w:t xml:space="preserve"> гр. 3</w:t>
            </w:r>
          </w:p>
        </w:tc>
        <w:tc>
          <w:tcPr>
            <w:tcW w:w="45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 стр. с </w:t>
            </w:r>
            <w:hyperlink w:history="0" w:anchor="P121" w:tooltip="40">
              <w:r>
                <w:rPr>
                  <w:sz w:val="20"/>
                  <w:color w:val="0000ff"/>
                </w:rPr>
                <w:t xml:space="preserve">40</w:t>
              </w:r>
            </w:hyperlink>
            <w:r>
              <w:rPr>
                <w:sz w:val="20"/>
              </w:rPr>
              <w:t xml:space="preserve"> по </w:t>
            </w:r>
            <w:hyperlink w:history="0" w:anchor="P280" w:tooltip="75">
              <w:r>
                <w:rPr>
                  <w:sz w:val="20"/>
                  <w:color w:val="0000ff"/>
                </w:rPr>
                <w:t xml:space="preserve">75</w:t>
              </w:r>
            </w:hyperlink>
            <w:r>
              <w:rPr>
                <w:sz w:val="20"/>
              </w:rPr>
              <w:t xml:space="preserve"> </w:t>
            </w:r>
            <w:r>
              <w:rPr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Росстата от 31.07.2023 N 371</w:t>
            <w:br/>
            <w:t>"Об утверждении формы федерального статистического наблюдения с указаниями по ее зап...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Росстата от 31.07.2023 N 371</w:t>
            <w:br/>
            <w:t>"Об утверждении формы федерального статистического наблюдения с указаниями по ее зап...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DD6ACC393F04416BF2E364B5020A95F28F295146A84D999CECF628AD7268331630E1D9F438F7178B57622B6CF2C1E5DBC2B67E64E1C376F12y0M" TargetMode = "External"/>
	<Relationship Id="rId8" Type="http://schemas.openxmlformats.org/officeDocument/2006/relationships/hyperlink" Target="consultantplus://offline/ref=5DD6ACC393F04416BF2E364B5020A95F2FFF981B6580D999CECF628AD7268331630E1D9F428E757CB37622B6CF2C1E5DBC2B67E64E1C376F12y0M" TargetMode = "External"/>
	<Relationship Id="rId9" Type="http://schemas.openxmlformats.org/officeDocument/2006/relationships/hyperlink" Target="consultantplus://offline/ref=5DD6ACC393F04416BF2E364B5020A95F2FF9981E6386D999CECF628AD7268331710E4593428E6F7AB66374E78917yAM" TargetMode = "External"/>
	<Relationship Id="rId10" Type="http://schemas.openxmlformats.org/officeDocument/2006/relationships/hyperlink" Target="consultantplus://offline/ref=5DD6ACC393F04416BF2E364B5020A95F2FFE99156486D999CECF628AD7268331710E4593428E6F7AB66374E78917yAM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consultantplus://offline/ref=5DD6ACC393F04416BF2E364B5020A95F2FFE921E6387D999CECF628AD7268331630E1D98428A7A2FE63923EA8A780D5DBC2B64E75211yDM" TargetMode = "External"/>
	<Relationship Id="rId14" Type="http://schemas.openxmlformats.org/officeDocument/2006/relationships/hyperlink" Target="consultantplus://offline/ref=5DD6ACC393F04416BF2E364B5020A95F2FFE93146B80D999CECF628AD7268331630E1D9F418E7970E32C32B286781242BC3478E5501C13y4M" TargetMode = "External"/>
	<Relationship Id="rId15" Type="http://schemas.openxmlformats.org/officeDocument/2006/relationships/hyperlink" Target="consultantplus://offline/ref=5DD6ACC393F04416BF2E364B5020A95F2FFE92196B83D999CECF628AD7268331630E1D9C428A7A2FE63923EA8A780D5DBC2B64E75211yDM" TargetMode = "External"/>
	<Relationship Id="rId16" Type="http://schemas.openxmlformats.org/officeDocument/2006/relationships/hyperlink" Target="consultantplus://offline/ref=5DD6ACC393F04416BF2E364B5020A95F2FFE951F6B89D999CECF628AD7268331630E1D9D44897170E32C32B286781242BC3478E5501C13y4M" TargetMode = "External"/>
	<Relationship Id="rId17" Type="http://schemas.openxmlformats.org/officeDocument/2006/relationships/hyperlink" Target="consultantplus://offline/ref=5DD6ACC393F04416BF2E364B5020A95F2FFF98196784D999CECF628AD7268331630E1D9F438F747DB37622B6CF2C1E5DBC2B67E64E1C376F12y0M" TargetMode = "External"/>
	<Relationship Id="rId18" Type="http://schemas.openxmlformats.org/officeDocument/2006/relationships/hyperlink" Target="consultantplus://offline/ref=5DD6ACC393F04416BF2E364B5020A95F2FFE921E6387D999CECF628AD7268331630E1D9F438F707DBF7622B6CF2C1E5DBC2B67E64E1C376F12y0M" TargetMode = "External"/>
	<Relationship Id="rId19" Type="http://schemas.openxmlformats.org/officeDocument/2006/relationships/hyperlink" Target="consultantplus://offline/ref=5DD6ACC393F04416BF2E364B5020A95F2FFE93156B86D999CECF628AD7268331630E1D9F438F737BB77622B6CF2C1E5DBC2B67E64E1C376F12y0M" TargetMode = "External"/>
	<Relationship Id="rId20" Type="http://schemas.openxmlformats.org/officeDocument/2006/relationships/hyperlink" Target="consultantplus://offline/ref=5DD6ACC393F04416BF2E364B5020A95F28FC961F6782D999CECF628AD7268331630E1D9F438F717AB57622B6CF2C1E5DBC2B67E64E1C376F12y0M" TargetMode = "External"/>
	<Relationship Id="rId21" Type="http://schemas.openxmlformats.org/officeDocument/2006/relationships/hyperlink" Target="consultantplus://offline/ref=5DD6ACC393F04416BF2E364B5020A95F28FC961F6782D999CECF628AD7268331630E1D9F438F717AB57622B6CF2C1E5DBC2B67E64E1C376F12y0M" TargetMode = "External"/>
	<Relationship Id="rId22" Type="http://schemas.openxmlformats.org/officeDocument/2006/relationships/hyperlink" Target="consultantplus://offline/ref=5DD6ACC393F04416BF2E364B5020A95F2FFF93196683D999CECF628AD7268331710E4593428E6F7AB66374E78917yAM" TargetMode = "External"/>
	<Relationship Id="rId23" Type="http://schemas.openxmlformats.org/officeDocument/2006/relationships/hyperlink" Target="consultantplus://offline/ref=5DD6ACC393F04416BF2E364B5020A95F2FFF921A6682D999CECF628AD7268331630E1D9F438F777AB17622B6CF2C1E5DBC2B67E64E1C376F12y0M" TargetMode = "External"/>
	<Relationship Id="rId24" Type="http://schemas.openxmlformats.org/officeDocument/2006/relationships/hyperlink" Target="consultantplus://offline/ref=5DD6ACC393F04416BF2E364B5020A95F2FF8921D6B82D999CECF628AD7268331630E1D9F438F717AB47622B6CF2C1E5DBC2B67E64E1C376F12y0M" TargetMode = "External"/>
	<Relationship Id="rId25" Type="http://schemas.openxmlformats.org/officeDocument/2006/relationships/hyperlink" Target="consultantplus://offline/ref=5DD6ACC393F04416BF2E364B5020A95F2FFE99156484D999CECF628AD7268331710E4593428E6F7AB66374E78917yAM" TargetMode = "External"/>
	<Relationship Id="rId26" Type="http://schemas.openxmlformats.org/officeDocument/2006/relationships/hyperlink" Target="consultantplus://offline/ref=5DD6ACC393F04416BF2E364B5020A95F2AF3981C6180D999CECF628AD7268331710E4593428E6F7AB66374E78917yAM" TargetMode = "External"/>
	<Relationship Id="rId27" Type="http://schemas.openxmlformats.org/officeDocument/2006/relationships/image" Target="media/image2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Росстата от 31.07.2023 N 371
"Об утверждении формы федерального статистического наблюдения с указаниями по ее заполнению для организации федерального статистического наблюдения за деятельностью религиозных организаций"</dc:title>
  <dcterms:created xsi:type="dcterms:W3CDTF">2023-11-11T12:50:53Z</dcterms:created>
</cp:coreProperties>
</file>