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ФАДН России от 06.04.2020 N 45</w:t>
              <w:br/>
              <w:t xml:space="preserve">(ред. от 07.05.2024)</w:t>
              <w:br/>
              <w:t xml:space="preserve">"Об утверждении Типового положения о согласовании и утверждении уставов казачьих обществ"</w:t>
              <w:br/>
              <w:t xml:space="preserve">(Зарегистрировано в Минюсте России 22.07.2020 N 59047)</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05.01.2025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22 июля 2020 г. N 59047</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ФЕДЕРАЛЬНОЕ АГЕНТСТВО ПО ДЕЛАМ НАЦИОНАЛЬНОСТЕЙ</w:t>
      </w:r>
    </w:p>
    <w:p>
      <w:pPr>
        <w:pStyle w:val="2"/>
        <w:jc w:val="center"/>
      </w:pPr>
      <w:r>
        <w:rPr>
          <w:sz w:val="20"/>
        </w:rPr>
      </w:r>
    </w:p>
    <w:p>
      <w:pPr>
        <w:pStyle w:val="2"/>
        <w:jc w:val="center"/>
      </w:pPr>
      <w:r>
        <w:rPr>
          <w:sz w:val="20"/>
        </w:rPr>
        <w:t xml:space="preserve">ПРИКАЗ</w:t>
      </w:r>
    </w:p>
    <w:p>
      <w:pPr>
        <w:pStyle w:val="2"/>
        <w:jc w:val="center"/>
      </w:pPr>
      <w:r>
        <w:rPr>
          <w:sz w:val="20"/>
        </w:rPr>
        <w:t xml:space="preserve">от 6 апреля 2020 г. N 45</w:t>
      </w:r>
    </w:p>
    <w:p>
      <w:pPr>
        <w:pStyle w:val="2"/>
        <w:jc w:val="center"/>
      </w:pPr>
      <w:r>
        <w:rPr>
          <w:sz w:val="20"/>
        </w:rPr>
      </w:r>
    </w:p>
    <w:p>
      <w:pPr>
        <w:pStyle w:val="2"/>
        <w:jc w:val="center"/>
      </w:pPr>
      <w:r>
        <w:rPr>
          <w:sz w:val="20"/>
        </w:rPr>
        <w:t xml:space="preserve">ОБ УТВЕРЖДЕНИИ ТИПОВОГО ПОЛОЖЕНИЯ</w:t>
      </w:r>
    </w:p>
    <w:p>
      <w:pPr>
        <w:pStyle w:val="2"/>
        <w:jc w:val="center"/>
      </w:pPr>
      <w:r>
        <w:rPr>
          <w:sz w:val="20"/>
        </w:rPr>
        <w:t xml:space="preserve">О СОГЛАСОВАНИИ И УТВЕРЖДЕНИИ УСТАВОВ КАЗАЧЬИХ ОБЩЕСТВ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риказ ФАДН России от 07.05.2024 N 72 &quot;О внесении изменений в Типовое положение о согласовании и утверждении уставов казачьих обществ, утвержденное приказом Федерального агентства по делам национальностей от 6 апреля 2020 г. N 45&quot; (Зарегистрировано в Минюсте России 10.06.2024 N 78508) {КонсультантПлюс}">
              <w:r>
                <w:rPr>
                  <w:sz w:val="20"/>
                  <w:color w:val="0000ff"/>
                </w:rPr>
                <w:t xml:space="preserve">Приказа</w:t>
              </w:r>
            </w:hyperlink>
            <w:r>
              <w:rPr>
                <w:sz w:val="20"/>
                <w:color w:val="392c69"/>
              </w:rPr>
              <w:t xml:space="preserve"> ФАДН России от 07.05.2024 N 72)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8" w:tooltip="Указ Президента РФ от 15.06.1992 N 632 (ред. от 15.02.2024) &quot;О мерах по реализации Закона Российской Федерации &quot;О реабилитации репрессированных народов&quot; в отношении казачества&quot; {КонсультантПлюс}">
        <w:r>
          <w:rPr>
            <w:sz w:val="20"/>
            <w:color w:val="0000ff"/>
          </w:rPr>
          <w:t xml:space="preserve">пунктами 3.6-1</w:t>
        </w:r>
      </w:hyperlink>
      <w:r>
        <w:rPr>
          <w:sz w:val="20"/>
        </w:rPr>
        <w:t xml:space="preserve"> и </w:t>
      </w:r>
      <w:hyperlink w:history="0" r:id="rId9" w:tooltip="Указ Президента РФ от 15.06.1992 N 632 (ред. от 15.02.2024) &quot;О мерах по реализации Закона Российской Федерации &quot;О реабилитации репрессированных народов&quot; в отношении казачества&quot; {КонсультантПлюс}">
        <w:r>
          <w:rPr>
            <w:sz w:val="20"/>
            <w:color w:val="0000ff"/>
          </w:rPr>
          <w:t xml:space="preserve">3.6-4</w:t>
        </w:r>
      </w:hyperlink>
      <w:r>
        <w:rPr>
          <w:sz w:val="20"/>
        </w:rPr>
        <w:t xml:space="preserve"> Указа Президента Российской Федерации от 15 июня 1992 г. N 632 "О мерах по реализации Закона Российской Федерации "О реабилитации репрессированных народов" в отношении казачества" (Ведомости Съезда народных депутатов Российской Федерации и Верховного Совета Российской Федерации, 1992, N 25, ст. 1429; Собрание законодательства Российской Федерации, 2003, N 9, ст. 851; 2019, N 35, ст. 4949) приказываю:</w:t>
      </w:r>
    </w:p>
    <w:p>
      <w:pPr>
        <w:pStyle w:val="0"/>
        <w:spacing w:before="200" w:line-rule="auto"/>
        <w:ind w:firstLine="540"/>
        <w:jc w:val="both"/>
      </w:pPr>
      <w:r>
        <w:rPr>
          <w:sz w:val="20"/>
        </w:rPr>
        <w:t xml:space="preserve">Утвердить прилагаемое Типовое </w:t>
      </w:r>
      <w:hyperlink w:history="0" w:anchor="P29" w:tooltip="ТИПОВОЕ ПОЛОЖЕНИЕ">
        <w:r>
          <w:rPr>
            <w:sz w:val="20"/>
            <w:color w:val="0000ff"/>
          </w:rPr>
          <w:t xml:space="preserve">положение</w:t>
        </w:r>
      </w:hyperlink>
      <w:r>
        <w:rPr>
          <w:sz w:val="20"/>
        </w:rPr>
        <w:t xml:space="preserve"> о согласовании и утверждении уставов казачьих обществ.</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И.В.БАРИНОВ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 Федерального агентства</w:t>
      </w:r>
    </w:p>
    <w:p>
      <w:pPr>
        <w:pStyle w:val="0"/>
        <w:jc w:val="right"/>
      </w:pPr>
      <w:r>
        <w:rPr>
          <w:sz w:val="20"/>
        </w:rPr>
        <w:t xml:space="preserve">по делам национальностей</w:t>
      </w:r>
    </w:p>
    <w:p>
      <w:pPr>
        <w:pStyle w:val="0"/>
        <w:jc w:val="right"/>
      </w:pPr>
      <w:r>
        <w:rPr>
          <w:sz w:val="20"/>
        </w:rPr>
        <w:t xml:space="preserve">от 06.04.2020 N 45</w:t>
      </w:r>
    </w:p>
    <w:p>
      <w:pPr>
        <w:pStyle w:val="0"/>
        <w:jc w:val="both"/>
      </w:pPr>
      <w:r>
        <w:rPr>
          <w:sz w:val="20"/>
        </w:rPr>
      </w:r>
    </w:p>
    <w:bookmarkStart w:id="29" w:name="P29"/>
    <w:bookmarkEnd w:id="29"/>
    <w:p>
      <w:pPr>
        <w:pStyle w:val="2"/>
        <w:jc w:val="center"/>
      </w:pPr>
      <w:r>
        <w:rPr>
          <w:sz w:val="20"/>
        </w:rPr>
        <w:t xml:space="preserve">ТИПОВОЕ ПОЛОЖЕНИЕ</w:t>
      </w:r>
    </w:p>
    <w:p>
      <w:pPr>
        <w:pStyle w:val="2"/>
        <w:jc w:val="center"/>
      </w:pPr>
      <w:r>
        <w:rPr>
          <w:sz w:val="20"/>
        </w:rPr>
        <w:t xml:space="preserve">О СОГЛАСОВАНИИ И УТВЕРЖДЕНИИ УСТАВОВ КАЗАЧЬИХ ОБЩЕСТВ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0" w:tooltip="Приказ ФАДН России от 07.05.2024 N 72 &quot;О внесении изменений в Типовое положение о согласовании и утверждении уставов казачьих обществ, утвержденное приказом Федерального агентства по делам национальностей от 6 апреля 2020 г. N 45&quot; (Зарегистрировано в Минюсте России 10.06.2024 N 78508) {КонсультантПлюс}">
              <w:r>
                <w:rPr>
                  <w:sz w:val="20"/>
                  <w:color w:val="0000ff"/>
                </w:rPr>
                <w:t xml:space="preserve">Приказа</w:t>
              </w:r>
            </w:hyperlink>
            <w:r>
              <w:rPr>
                <w:sz w:val="20"/>
                <w:color w:val="392c69"/>
              </w:rPr>
              <w:t xml:space="preserve"> ФАДН России от 07.05.2024 N 72)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Настоящее Типовое положение определяет перечень основных документов, необходимых для согласования и утверждения уставов казачьих обществ, указанных в </w:t>
      </w:r>
      <w:hyperlink w:history="0" r:id="rId11" w:tooltip="Указ Президента РФ от 15.06.1992 N 632 (ред. от 15.02.2024) &quot;О мерах по реализации Закона Российской Федерации &quot;О реабилитации репрессированных народов&quot; в отношении казачества&quot; {КонсультантПлюс}">
        <w:r>
          <w:rPr>
            <w:sz w:val="20"/>
            <w:color w:val="0000ff"/>
          </w:rPr>
          <w:t xml:space="preserve">пунктах 3.2</w:t>
        </w:r>
      </w:hyperlink>
      <w:r>
        <w:rPr>
          <w:sz w:val="20"/>
        </w:rPr>
        <w:t xml:space="preserve"> - </w:t>
      </w:r>
      <w:hyperlink w:history="0" r:id="rId12" w:tooltip="Указ Президента РФ от 15.06.1992 N 632 (ред. от 15.02.2024) &quot;О мерах по реализации Закона Российской Федерации &quot;О реабилитации репрессированных народов&quot; в отношении казачества&quot; {КонсультантПлюс}">
        <w:r>
          <w:rPr>
            <w:sz w:val="20"/>
            <w:color w:val="0000ff"/>
          </w:rPr>
          <w:t xml:space="preserve">3.5</w:t>
        </w:r>
      </w:hyperlink>
      <w:r>
        <w:rPr>
          <w:sz w:val="20"/>
        </w:rPr>
        <w:t xml:space="preserve"> Указа Президента Российской Федерации от 15 июня 1992 г. N 632 "О мерах по реализации Закона Российской Федерации "О реабилитации репрессированных народов" в отношении казачества" (Ведомости Съезда народных депутатов Российской Федерации и Верховного Совета Российской Федерации, 1992, N 25, ст. 1429; Собрание законодательства Российской Федерации, 2003, N 9, ст. 851; 2019, N 35, ст. 4949), предельные сроки и общий порядок их представления и рассмотрения, общий порядок принятия решений о согласовании и утверждении этих уставов, а также перечень документов, необходимых для утверждения уставов войсковых казачьих обществ, сроки и порядок их рассмотрения, порядок принятия решений об утверждении уставов войсковых казачьих обществ.</w:t>
      </w:r>
    </w:p>
    <w:bookmarkStart w:id="35" w:name="P35"/>
    <w:bookmarkEnd w:id="35"/>
    <w:p>
      <w:pPr>
        <w:pStyle w:val="0"/>
        <w:spacing w:before="200" w:line-rule="auto"/>
        <w:ind w:firstLine="540"/>
        <w:jc w:val="both"/>
      </w:pPr>
      <w:r>
        <w:rPr>
          <w:sz w:val="20"/>
        </w:rPr>
        <w:t xml:space="preserve">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согласовываются с атаманом районного (юртового) либо окружного (отдельского) казачьего общества (если районное (юртовое) либо окружное (отдельское) казачье общество осуществляет деятельность на территории субъекта Российской Федерации, на которой создаются (действуют) указанные хуторские, станичные, городские казачьи общества).</w:t>
      </w:r>
    </w:p>
    <w:p>
      <w:pPr>
        <w:pStyle w:val="0"/>
        <w:jc w:val="both"/>
      </w:pPr>
      <w:r>
        <w:rPr>
          <w:sz w:val="20"/>
        </w:rPr>
        <w:t xml:space="preserve">(в ред. </w:t>
      </w:r>
      <w:hyperlink w:history="0" r:id="rId13" w:tooltip="Приказ ФАДН России от 07.05.2024 N 72 &quot;О внесении изменений в Типовое положение о согласовании и утверждении уставов казачьих обществ, утвержденное приказом Федерального агентства по делам национальностей от 6 апреля 2020 г. N 45&quot; (Зарегистрировано в Минюсте России 10.06.2024 N 78508) {КонсультантПлюс}">
        <w:r>
          <w:rPr>
            <w:sz w:val="20"/>
            <w:color w:val="0000ff"/>
          </w:rPr>
          <w:t xml:space="preserve">Приказа</w:t>
        </w:r>
      </w:hyperlink>
      <w:r>
        <w:rPr>
          <w:sz w:val="20"/>
        </w:rPr>
        <w:t xml:space="preserve"> ФАДН России от 07.05.2024 N 72)</w:t>
      </w:r>
    </w:p>
    <w:p>
      <w:pPr>
        <w:pStyle w:val="0"/>
        <w:spacing w:before="200" w:line-rule="auto"/>
        <w:ind w:firstLine="540"/>
        <w:jc w:val="both"/>
      </w:pPr>
      <w:r>
        <w:rPr>
          <w:sz w:val="20"/>
        </w:rPr>
        <w:t xml:space="preserve">3. Уставы хуторских, станичных, городских казачьих обществ, создаваемых (действующих) на территориях двух и более городских или сельских поселений, входящих в состав одного муниципального района, согласовываются с главами соответствующих городских, сельских поселений, а также с атаманом районного (юртового) либо окружного (отдельского) казачьего общества (если районное (юртовое) либо окружное (отдельское) казачье общество осуществляет деятельность на территории субъекта Российской Федерации, на которой создаются (действуют) указанные хуторские, станичные, городские казачьи общества).</w:t>
      </w:r>
    </w:p>
    <w:p>
      <w:pPr>
        <w:pStyle w:val="0"/>
        <w:jc w:val="both"/>
      </w:pPr>
      <w:r>
        <w:rPr>
          <w:sz w:val="20"/>
        </w:rPr>
        <w:t xml:space="preserve">(в ред. </w:t>
      </w:r>
      <w:hyperlink w:history="0" r:id="rId14" w:tooltip="Приказ ФАДН России от 07.05.2024 N 72 &quot;О внесении изменений в Типовое положение о согласовании и утверждении уставов казачьих обществ, утвержденное приказом Федерального агентства по делам национальностей от 6 апреля 2020 г. N 45&quot; (Зарегистрировано в Минюсте России 10.06.2024 N 78508) {КонсультантПлюс}">
        <w:r>
          <w:rPr>
            <w:sz w:val="20"/>
            <w:color w:val="0000ff"/>
          </w:rPr>
          <w:t xml:space="preserve">Приказа</w:t>
        </w:r>
      </w:hyperlink>
      <w:r>
        <w:rPr>
          <w:sz w:val="20"/>
        </w:rPr>
        <w:t xml:space="preserve"> ФАДН России от 07.05.2024 N 72)</w:t>
      </w:r>
    </w:p>
    <w:p>
      <w:pPr>
        <w:pStyle w:val="0"/>
        <w:spacing w:before="200" w:line-rule="auto"/>
        <w:ind w:firstLine="540"/>
        <w:jc w:val="both"/>
      </w:pPr>
      <w:r>
        <w:rPr>
          <w:sz w:val="20"/>
        </w:rPr>
        <w:t xml:space="preserve">4. Уставы хуторских, станичных, городских казачьих обществ, создаваемых (действующих) на территориях двух и более внутригородских районов, входящих в состав одного городского округа с внутригородским делением, на территориях двух и более внутригородских муниципальных образований городов федерального значения, согласовываются с главами соответствующих внутригородских районов, внутригородских муниципальных образований городов федерального значения, а также с атаманом районного (юртового) либо окружного (отдельского) казачьего общества (если районное (юртовое) либо окружное (отдельское) казачье общество осуществляет деятельность на территории субъекта Российской Федерации, на которой создаются (действуют) указанные хуторские, станичные, городские казачьи общества).</w:t>
      </w:r>
    </w:p>
    <w:p>
      <w:pPr>
        <w:pStyle w:val="0"/>
        <w:jc w:val="both"/>
      </w:pPr>
      <w:r>
        <w:rPr>
          <w:sz w:val="20"/>
        </w:rPr>
        <w:t xml:space="preserve">(в ред. </w:t>
      </w:r>
      <w:hyperlink w:history="0" r:id="rId15" w:tooltip="Приказ ФАДН России от 07.05.2024 N 72 &quot;О внесении изменений в Типовое положение о согласовании и утверждении уставов казачьих обществ, утвержденное приказом Федерального агентства по делам национальностей от 6 апреля 2020 г. N 45&quot; (Зарегистрировано в Минюсте России 10.06.2024 N 78508) {КонсультантПлюс}">
        <w:r>
          <w:rPr>
            <w:sz w:val="20"/>
            <w:color w:val="0000ff"/>
          </w:rPr>
          <w:t xml:space="preserve">Приказа</w:t>
        </w:r>
      </w:hyperlink>
      <w:r>
        <w:rPr>
          <w:sz w:val="20"/>
        </w:rPr>
        <w:t xml:space="preserve"> ФАДН России от 07.05.2024 N 72)</w:t>
      </w:r>
    </w:p>
    <w:p>
      <w:pPr>
        <w:pStyle w:val="0"/>
        <w:spacing w:before="200" w:line-rule="auto"/>
        <w:ind w:firstLine="540"/>
        <w:jc w:val="both"/>
      </w:pPr>
      <w:r>
        <w:rPr>
          <w:sz w:val="20"/>
        </w:rPr>
        <w:t xml:space="preserve">5. Уставы районных (юртовых) казачьих обществ, создаваемых (действующих) на территориях муниципальных округов, городских округов, внутригородских районов городских округов с внутригородским делением, муниципальных районов, согласовываются с атаманом окружного (отдельского) казачьего общества (если окружное (отдельское) казачье общество осуществляет деятельность на территории субъекта Российской Федерации, на которой создаются (действуют) указанные районные (юртовые) казачьи общества).</w:t>
      </w:r>
    </w:p>
    <w:p>
      <w:pPr>
        <w:pStyle w:val="0"/>
        <w:jc w:val="both"/>
      </w:pPr>
      <w:r>
        <w:rPr>
          <w:sz w:val="20"/>
        </w:rPr>
        <w:t xml:space="preserve">(п. 5 в ред. </w:t>
      </w:r>
      <w:hyperlink w:history="0" r:id="rId16" w:tooltip="Приказ ФАДН России от 07.05.2024 N 72 &quot;О внесении изменений в Типовое положение о согласовании и утверждении уставов казачьих обществ, утвержденное приказом Федерального агентства по делам национальностей от 6 апреля 2020 г. N 45&quot; (Зарегистрировано в Минюсте России 10.06.2024 N 78508) {КонсультантПлюс}">
        <w:r>
          <w:rPr>
            <w:sz w:val="20"/>
            <w:color w:val="0000ff"/>
          </w:rPr>
          <w:t xml:space="preserve">Приказа</w:t>
        </w:r>
      </w:hyperlink>
      <w:r>
        <w:rPr>
          <w:sz w:val="20"/>
        </w:rPr>
        <w:t xml:space="preserve"> ФАДН России от 07.05.2024 N 72)</w:t>
      </w:r>
    </w:p>
    <w:p>
      <w:pPr>
        <w:pStyle w:val="0"/>
        <w:spacing w:before="200" w:line-rule="auto"/>
        <w:ind w:firstLine="540"/>
        <w:jc w:val="both"/>
      </w:pPr>
      <w:r>
        <w:rPr>
          <w:sz w:val="20"/>
        </w:rPr>
        <w:t xml:space="preserve">6. Уставы районных (юртовых) казачьих обществ, создаваемых (действующих) на территориях двух и более муниципальных районов, внутригородских муниципальных образований городов федерального значения либо на территориях муниципальных районов и муниципальных округов, муниципальных районов и городских округов, согласовываются с главами соответствующих муниципальных районов, муниципальных округов, городских округов и внутригородских муниципальных образований городов федерального значения, а также с атаманом окружного (отдельского) казачьего общества (если окружное (отдельское) казачье общество осуществляет деятельность на территории субъекта Российской Федерации, на которой создаются (действуют) указанные районные (юртовые) казачьи общества).</w:t>
      </w:r>
    </w:p>
    <w:p>
      <w:pPr>
        <w:pStyle w:val="0"/>
        <w:jc w:val="both"/>
      </w:pPr>
      <w:r>
        <w:rPr>
          <w:sz w:val="20"/>
        </w:rPr>
        <w:t xml:space="preserve">(в ред. </w:t>
      </w:r>
      <w:hyperlink w:history="0" r:id="rId17" w:tooltip="Приказ ФАДН России от 07.05.2024 N 72 &quot;О внесении изменений в Типовое положение о согласовании и утверждении уставов казачьих обществ, утвержденное приказом Федерального агентства по делам национальностей от 6 апреля 2020 г. N 45&quot; (Зарегистрировано в Минюсте России 10.06.2024 N 78508) {КонсультантПлюс}">
        <w:r>
          <w:rPr>
            <w:sz w:val="20"/>
            <w:color w:val="0000ff"/>
          </w:rPr>
          <w:t xml:space="preserve">Приказа</w:t>
        </w:r>
      </w:hyperlink>
      <w:r>
        <w:rPr>
          <w:sz w:val="20"/>
        </w:rPr>
        <w:t xml:space="preserve"> ФАДН России от 07.05.2024 N 72)</w:t>
      </w:r>
    </w:p>
    <w:p>
      <w:pPr>
        <w:pStyle w:val="0"/>
        <w:spacing w:before="200" w:line-rule="auto"/>
        <w:ind w:firstLine="540"/>
        <w:jc w:val="both"/>
      </w:pPr>
      <w:r>
        <w:rPr>
          <w:sz w:val="20"/>
        </w:rPr>
        <w:t xml:space="preserve">7. Уставы окружных (отдельских) казачьих обществ, создаваемых (действующих) на территории субъекта Российской Федерации, согласовываются с атаманом войскового казачьего общества (если войсковое казачье общество осуществляет деятельность на территории субъекта Российской Федерации, на которой создаются (действуют) указанные окружные (отдельские) казачьи общества).</w:t>
      </w:r>
    </w:p>
    <w:p>
      <w:pPr>
        <w:pStyle w:val="0"/>
        <w:jc w:val="both"/>
      </w:pPr>
      <w:r>
        <w:rPr>
          <w:sz w:val="20"/>
        </w:rPr>
        <w:t xml:space="preserve">(в ред. </w:t>
      </w:r>
      <w:hyperlink w:history="0" r:id="rId18" w:tooltip="Приказ ФАДН России от 07.05.2024 N 72 &quot;О внесении изменений в Типовое положение о согласовании и утверждении уставов казачьих обществ, утвержденное приказом Федерального агентства по делам национальностей от 6 апреля 2020 г. N 45&quot; (Зарегистрировано в Минюсте России 10.06.2024 N 78508) {КонсультантПлюс}">
        <w:r>
          <w:rPr>
            <w:sz w:val="20"/>
            <w:color w:val="0000ff"/>
          </w:rPr>
          <w:t xml:space="preserve">Приказа</w:t>
        </w:r>
      </w:hyperlink>
      <w:r>
        <w:rPr>
          <w:sz w:val="20"/>
        </w:rPr>
        <w:t xml:space="preserve"> ФАДН России от 07.05.2024 N 72)</w:t>
      </w:r>
    </w:p>
    <w:p>
      <w:pPr>
        <w:pStyle w:val="0"/>
        <w:spacing w:before="200" w:line-rule="auto"/>
        <w:ind w:firstLine="540"/>
        <w:jc w:val="both"/>
      </w:pPr>
      <w:r>
        <w:rPr>
          <w:sz w:val="20"/>
        </w:rPr>
        <w:t xml:space="preserve">8. Уставы окружных (отдельских) казачьих обществ, создаваемых (действующих) на территориях двух и более субъектов Российской Федерации, согласовываются с высшими должностными лицами соответствующих субъектов Российской Федерации, а также с атаманом войскового казачьего общества (если войсковое казачье общество осуществляет деятельность на территориях субъектов Российской Федерации, на которых создаются (действуют) указанные окружные (отдельские) казачьи общества).</w:t>
      </w:r>
    </w:p>
    <w:p>
      <w:pPr>
        <w:pStyle w:val="0"/>
        <w:jc w:val="both"/>
      </w:pPr>
      <w:r>
        <w:rPr>
          <w:sz w:val="20"/>
        </w:rPr>
        <w:t xml:space="preserve">(п. 8 в ред. </w:t>
      </w:r>
      <w:hyperlink w:history="0" r:id="rId19" w:tooltip="Приказ ФАДН России от 07.05.2024 N 72 &quot;О внесении изменений в Типовое положение о согласовании и утверждении уставов казачьих обществ, утвержденное приказом Федерального агентства по делам национальностей от 6 апреля 2020 г. N 45&quot; (Зарегистрировано в Минюсте России 10.06.2024 N 78508) {КонсультантПлюс}">
        <w:r>
          <w:rPr>
            <w:sz w:val="20"/>
            <w:color w:val="0000ff"/>
          </w:rPr>
          <w:t xml:space="preserve">Приказа</w:t>
        </w:r>
      </w:hyperlink>
      <w:r>
        <w:rPr>
          <w:sz w:val="20"/>
        </w:rPr>
        <w:t xml:space="preserve"> ФАДН России от 07.05.2024 N 72)</w:t>
      </w:r>
    </w:p>
    <w:bookmarkStart w:id="49" w:name="P49"/>
    <w:bookmarkEnd w:id="49"/>
    <w:p>
      <w:pPr>
        <w:pStyle w:val="0"/>
        <w:spacing w:before="200" w:line-rule="auto"/>
        <w:ind w:firstLine="540"/>
        <w:jc w:val="both"/>
      </w:pPr>
      <w:r>
        <w:rPr>
          <w:sz w:val="20"/>
        </w:rPr>
        <w:t xml:space="preserve">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согласовываются с высшими должностными лицами соответствующих субъектов Российской Федерации, а также с атаманом всероссийского войскового казачьего общества.</w:t>
      </w:r>
    </w:p>
    <w:p>
      <w:pPr>
        <w:pStyle w:val="0"/>
        <w:jc w:val="both"/>
      </w:pPr>
      <w:r>
        <w:rPr>
          <w:sz w:val="20"/>
        </w:rPr>
        <w:t xml:space="preserve">(в ред. </w:t>
      </w:r>
      <w:hyperlink w:history="0" r:id="rId20" w:tooltip="Приказ ФАДН России от 07.05.2024 N 72 &quot;О внесении изменений в Типовое положение о согласовании и утверждении уставов казачьих обществ, утвержденное приказом Федерального агентства по делам национальностей от 6 апреля 2020 г. N 45&quot; (Зарегистрировано в Минюсте России 10.06.2024 N 78508) {КонсультантПлюс}">
        <w:r>
          <w:rPr>
            <w:sz w:val="20"/>
            <w:color w:val="0000ff"/>
          </w:rPr>
          <w:t xml:space="preserve">Приказа</w:t>
        </w:r>
      </w:hyperlink>
      <w:r>
        <w:rPr>
          <w:sz w:val="20"/>
        </w:rPr>
        <w:t xml:space="preserve"> ФАДН России от 07.05.2024 N 72)</w:t>
      </w:r>
    </w:p>
    <w:p>
      <w:pPr>
        <w:pStyle w:val="0"/>
        <w:spacing w:before="200" w:line-rule="auto"/>
        <w:ind w:firstLine="540"/>
        <w:jc w:val="both"/>
      </w:pPr>
      <w:r>
        <w:rPr>
          <w:sz w:val="20"/>
        </w:rPr>
        <w:t xml:space="preserve">10. Согласование уставов казачьих обществ осуществляется после:</w:t>
      </w:r>
    </w:p>
    <w:p>
      <w:pPr>
        <w:pStyle w:val="0"/>
        <w:spacing w:before="200" w:line-rule="auto"/>
        <w:ind w:firstLine="540"/>
        <w:jc w:val="both"/>
      </w:pPr>
      <w:r>
        <w:rPr>
          <w:sz w:val="20"/>
        </w:rPr>
        <w:t xml:space="preserve">принятия учредительным собранием (кругом, сбором) решения об учреждении казачьего общества;</w:t>
      </w:r>
    </w:p>
    <w:p>
      <w:pPr>
        <w:pStyle w:val="0"/>
        <w:spacing w:before="200" w:line-rule="auto"/>
        <w:ind w:firstLine="540"/>
        <w:jc w:val="both"/>
      </w:pPr>
      <w:r>
        <w:rPr>
          <w:sz w:val="20"/>
        </w:rPr>
        <w:t xml:space="preserve">принятия высшим органом управления казачьего общества решения об утверждении устава этого казачьего общества.</w:t>
      </w:r>
    </w:p>
    <w:bookmarkStart w:id="54" w:name="P54"/>
    <w:bookmarkEnd w:id="54"/>
    <w:p>
      <w:pPr>
        <w:pStyle w:val="0"/>
        <w:spacing w:before="200" w:line-rule="auto"/>
        <w:ind w:firstLine="540"/>
        <w:jc w:val="both"/>
      </w:pPr>
      <w:r>
        <w:rPr>
          <w:sz w:val="20"/>
        </w:rPr>
        <w:t xml:space="preserve">11.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 названным в </w:t>
      </w:r>
      <w:hyperlink w:history="0" w:anchor="P35" w:tooltip="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согласовываются с атаманом районного (юртового) либо окружного (отдельского) казачьего общества (если районное (юртовое) либо окружное (отдельское) казачье общество осуществляет деятельность на территории субъекта Российской Федерации, на которо...">
        <w:r>
          <w:rPr>
            <w:sz w:val="20"/>
            <w:color w:val="0000ff"/>
          </w:rPr>
          <w:t xml:space="preserve">пунктах 2</w:t>
        </w:r>
      </w:hyperlink>
      <w:r>
        <w:rPr>
          <w:sz w:val="20"/>
        </w:rPr>
        <w:t xml:space="preserve"> - </w:t>
      </w:r>
      <w:hyperlink w:history="0" w:anchor="P49" w:tooltip="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согласовываются с высшими должностными лицами соответствующих субъектов Российской Федерации, а также с атаманом всероссийского войскового казачьего общества.">
        <w:r>
          <w:rPr>
            <w:sz w:val="20"/>
            <w:color w:val="0000ff"/>
          </w:rPr>
          <w:t xml:space="preserve">9</w:t>
        </w:r>
      </w:hyperlink>
      <w:r>
        <w:rPr>
          <w:sz w:val="20"/>
        </w:rPr>
        <w:t xml:space="preserve"> настоящего положения, представление о согласовании устава казачьего общества. К представлению прилагаются:</w:t>
      </w:r>
    </w:p>
    <w:p>
      <w:pPr>
        <w:pStyle w:val="0"/>
        <w:spacing w:before="200" w:line-rule="auto"/>
        <w:ind w:firstLine="540"/>
        <w:jc w:val="both"/>
      </w:pPr>
      <w:r>
        <w:rPr>
          <w:sz w:val="20"/>
        </w:rPr>
        <w:t xml:space="preserve">а) копии документов, подтверждающих соблюдение требований к порядку созыва и проведения заседания высшего органа управления казачьего общества, установленных </w:t>
      </w:r>
      <w:hyperlink w:history="0" r:id="rId21" w:tooltip="&quot;Гражданский кодекс Российской Федерации (часть первая)&quot; от 30.11.1994 N 51-ФЗ (ред. от 08.08.2024, с изм. от 31.10.2024) {КонсультантПлюс}">
        <w:r>
          <w:rPr>
            <w:sz w:val="20"/>
            <w:color w:val="0000ff"/>
          </w:rPr>
          <w:t xml:space="preserve">главами 4</w:t>
        </w:r>
      </w:hyperlink>
      <w:r>
        <w:rPr>
          <w:sz w:val="20"/>
        </w:rPr>
        <w:t xml:space="preserve"> и </w:t>
      </w:r>
      <w:hyperlink w:history="0" r:id="rId22" w:tooltip="&quot;Гражданский кодекс Российской Федерации (часть первая)&quot; от 30.11.1994 N 51-ФЗ (ред. от 08.08.2024, с изм. от 31.10.2024) {КонсультантПлюс}">
        <w:r>
          <w:rPr>
            <w:sz w:val="20"/>
            <w:color w:val="0000ff"/>
          </w:rPr>
          <w:t xml:space="preserve">9.1</w:t>
        </w:r>
      </w:hyperlink>
      <w:r>
        <w:rPr>
          <w:sz w:val="20"/>
        </w:rPr>
        <w:t xml:space="preserve"> Гражданского кодекса Российской Федерации (Собрание законодательства Российской Федерации, 1994, N 32, ст. 3301; 2019, N 51, ст. 7482) и иными федеральными законами в сфере деятельности некоммерческих организаций, а также уставом казачьего общества;</w:t>
      </w:r>
    </w:p>
    <w:p>
      <w:pPr>
        <w:pStyle w:val="0"/>
        <w:spacing w:before="200" w:line-rule="auto"/>
        <w:ind w:firstLine="540"/>
        <w:jc w:val="both"/>
      </w:pPr>
      <w:r>
        <w:rPr>
          <w:sz w:val="20"/>
        </w:rPr>
        <w:t xml:space="preserve">б) копия протокола заседания высшего органа управления казачьего общества, содержащего решение об утверждении устава этого казачьего общества;</w:t>
      </w:r>
    </w:p>
    <w:p>
      <w:pPr>
        <w:pStyle w:val="0"/>
        <w:spacing w:before="200" w:line-rule="auto"/>
        <w:ind w:firstLine="540"/>
        <w:jc w:val="both"/>
      </w:pPr>
      <w:r>
        <w:rPr>
          <w:sz w:val="20"/>
        </w:rPr>
        <w:t xml:space="preserve">в) устав казачьего общества в новой редакции.</w:t>
      </w:r>
    </w:p>
    <w:bookmarkStart w:id="58" w:name="P58"/>
    <w:bookmarkEnd w:id="58"/>
    <w:p>
      <w:pPr>
        <w:pStyle w:val="0"/>
        <w:spacing w:before="200" w:line-rule="auto"/>
        <w:ind w:firstLine="540"/>
        <w:jc w:val="both"/>
      </w:pPr>
      <w:r>
        <w:rPr>
          <w:sz w:val="20"/>
        </w:rPr>
        <w:t xml:space="preserve">12. Для согласования устава создаваемого казачьего общества лицо, уполномоченное учредительным собранием (кругом, сбором) создаваемого казачьего общества (далее - уполномоченное лицо), в течение 14 календарных дней со дня принятия учредительным собранием (кругом, сбором) решения об учреждении казачьего общества направляет соответствующим должностным лицам, названным в </w:t>
      </w:r>
      <w:hyperlink w:history="0" w:anchor="P35" w:tooltip="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согласовываются с атаманом районного (юртового) либо окружного (отдельского) казачьего общества (если районное (юртовое) либо окружное (отдельское) казачье общество осуществляет деятельность на территории субъекта Российской Федерации, на которо...">
        <w:r>
          <w:rPr>
            <w:sz w:val="20"/>
            <w:color w:val="0000ff"/>
          </w:rPr>
          <w:t xml:space="preserve">пунктах 2</w:t>
        </w:r>
      </w:hyperlink>
      <w:r>
        <w:rPr>
          <w:sz w:val="20"/>
        </w:rPr>
        <w:t xml:space="preserve"> - </w:t>
      </w:r>
      <w:hyperlink w:history="0" w:anchor="P49" w:tooltip="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согласовываются с высшими должностными лицами соответствующих субъектов Российской Федерации, а также с атаманом всероссийского войскового казачьего общества.">
        <w:r>
          <w:rPr>
            <w:sz w:val="20"/>
            <w:color w:val="0000ff"/>
          </w:rPr>
          <w:t xml:space="preserve">9</w:t>
        </w:r>
      </w:hyperlink>
      <w:r>
        <w:rPr>
          <w:sz w:val="20"/>
        </w:rPr>
        <w:t xml:space="preserve"> настоящего положения, представление о согласовании устава казачьего общества. К представлению прилагаются:</w:t>
      </w:r>
    </w:p>
    <w:p>
      <w:pPr>
        <w:pStyle w:val="0"/>
        <w:spacing w:before="200" w:line-rule="auto"/>
        <w:ind w:firstLine="540"/>
        <w:jc w:val="both"/>
      </w:pPr>
      <w:r>
        <w:rPr>
          <w:sz w:val="20"/>
        </w:rPr>
        <w:t xml:space="preserve">а) копии документов, подтверждающих соблюдение требований к порядку созыва и проведения заседания учредительного собрания (круга, сбора) казачьего общества, установленных </w:t>
      </w:r>
      <w:hyperlink w:history="0" r:id="rId23" w:tooltip="&quot;Гражданский кодекс Российской Федерации (часть первая)&quot; от 30.11.1994 N 51-ФЗ (ред. от 08.08.2024, с изм. от 31.10.2024) {КонсультантПлюс}">
        <w:r>
          <w:rPr>
            <w:sz w:val="20"/>
            <w:color w:val="0000ff"/>
          </w:rPr>
          <w:t xml:space="preserve">главами 4</w:t>
        </w:r>
      </w:hyperlink>
      <w:r>
        <w:rPr>
          <w:sz w:val="20"/>
        </w:rPr>
        <w:t xml:space="preserve"> и </w:t>
      </w:r>
      <w:hyperlink w:history="0" r:id="rId24" w:tooltip="&quot;Гражданский кодекс Российской Федерации (часть первая)&quot; от 30.11.1994 N 51-ФЗ (ред. от 08.08.2024, с изм. от 31.10.2024) {КонсультантПлюс}">
        <w:r>
          <w:rPr>
            <w:sz w:val="20"/>
            <w:color w:val="0000ff"/>
          </w:rPr>
          <w:t xml:space="preserve">9.1</w:t>
        </w:r>
      </w:hyperlink>
      <w:r>
        <w:rPr>
          <w:sz w:val="20"/>
        </w:rPr>
        <w:t xml:space="preserve"> Гражданского кодекса Российской Федерации и иными федеральными законами в сфере деятельности некоммерческих организаций;</w:t>
      </w:r>
    </w:p>
    <w:p>
      <w:pPr>
        <w:pStyle w:val="0"/>
        <w:spacing w:before="200" w:line-rule="auto"/>
        <w:ind w:firstLine="540"/>
        <w:jc w:val="both"/>
      </w:pPr>
      <w:r>
        <w:rPr>
          <w:sz w:val="20"/>
        </w:rPr>
        <w:t xml:space="preserve">б) копия протокола учредительного собрания (круга, сбора), содержащего решение об утверждении устава казачьего общества;</w:t>
      </w:r>
    </w:p>
    <w:p>
      <w:pPr>
        <w:pStyle w:val="0"/>
        <w:spacing w:before="200" w:line-rule="auto"/>
        <w:ind w:firstLine="540"/>
        <w:jc w:val="both"/>
      </w:pPr>
      <w:r>
        <w:rPr>
          <w:sz w:val="20"/>
        </w:rPr>
        <w:t xml:space="preserve">в) устав казачьего общества.</w:t>
      </w:r>
    </w:p>
    <w:bookmarkStart w:id="62" w:name="P62"/>
    <w:bookmarkEnd w:id="62"/>
    <w:p>
      <w:pPr>
        <w:pStyle w:val="0"/>
        <w:spacing w:before="200" w:line-rule="auto"/>
        <w:ind w:firstLine="540"/>
        <w:jc w:val="both"/>
      </w:pPr>
      <w:r>
        <w:rPr>
          <w:sz w:val="20"/>
        </w:rPr>
        <w:t xml:space="preserve">13. В случае если устав казачьего общества подлежит согласованию с атаманом иного казачьего общества, устав казачьего общества направляется для согласования указанному атаману до направления другим должностным лицам, названным в </w:t>
      </w:r>
      <w:hyperlink w:history="0" w:anchor="P35" w:tooltip="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согласовываются с атаманом районного (юртового) либо окружного (отдельского) казачьего общества (если районное (юртовое) либо окружное (отдельское) казачье общество осуществляет деятельность на территории субъекта Российской Федерации, на которо...">
        <w:r>
          <w:rPr>
            <w:sz w:val="20"/>
            <w:color w:val="0000ff"/>
          </w:rPr>
          <w:t xml:space="preserve">пунктах 2</w:t>
        </w:r>
      </w:hyperlink>
      <w:r>
        <w:rPr>
          <w:sz w:val="20"/>
        </w:rPr>
        <w:t xml:space="preserve"> - </w:t>
      </w:r>
      <w:hyperlink w:history="0" w:anchor="P49" w:tooltip="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согласовываются с высшими должностными лицами соответствующих субъектов Российской Федерации, а также с атаманом всероссийского войскового казачьего общества.">
        <w:r>
          <w:rPr>
            <w:sz w:val="20"/>
            <w:color w:val="0000ff"/>
          </w:rPr>
          <w:t xml:space="preserve">9</w:t>
        </w:r>
      </w:hyperlink>
      <w:r>
        <w:rPr>
          <w:sz w:val="20"/>
        </w:rPr>
        <w:t xml:space="preserve"> настоящего положения. В последующем к представлению о согласовании устава казачьего общества указанными должностными лицами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w:t>
      </w:r>
    </w:p>
    <w:p>
      <w:pPr>
        <w:pStyle w:val="0"/>
        <w:spacing w:before="200" w:line-rule="auto"/>
        <w:ind w:firstLine="540"/>
        <w:jc w:val="both"/>
      </w:pPr>
      <w:r>
        <w:rPr>
          <w:sz w:val="20"/>
        </w:rPr>
        <w:t xml:space="preserve">14. Указанные в </w:t>
      </w:r>
      <w:hyperlink w:history="0" w:anchor="P54" w:tooltip="11.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 названным в пунктах 2 - 9 настоящего положения, представление о согласовании устава казачьего общества. К представлению прилагаются:">
        <w:r>
          <w:rPr>
            <w:sz w:val="20"/>
            <w:color w:val="0000ff"/>
          </w:rPr>
          <w:t xml:space="preserve">пунктах 11</w:t>
        </w:r>
      </w:hyperlink>
      <w:r>
        <w:rPr>
          <w:sz w:val="20"/>
        </w:rPr>
        <w:t xml:space="preserve"> и </w:t>
      </w:r>
      <w:hyperlink w:history="0" w:anchor="P58" w:tooltip="12. Для согласования устава создаваемого казачьего общества лицо, уполномоченное учредительным собранием (кругом, сбором) создаваемого казачьего общества (далее - уполномоченное лицо), в течение 14 календарных дней со дня принятия учредительным собранием (кругом, сбором) решения об учреждении казачьего общества направляет соответствующим должностным лицам, названным в пунктах 2 - 9 настоящего положения, представление о согласовании устава казачьего общества. К представлению прилагаются:">
        <w:r>
          <w:rPr>
            <w:sz w:val="20"/>
            <w:color w:val="0000ff"/>
          </w:rPr>
          <w:t xml:space="preserve">12</w:t>
        </w:r>
      </w:hyperlink>
      <w:r>
        <w:rPr>
          <w:sz w:val="20"/>
        </w:rPr>
        <w:t xml:space="preserve"> настоящего положения копии документов должны быть заверены подписью атамана казачьего общества либо уполномоченного лица. Документы (их копии), содержащие более одного листа, должны быть прошиты, пронумерованы и заверены подписью атамана казачьего общества либо уполномоченного лица на обороте последнего листа в месте, предназначенном для прошивки.</w:t>
      </w:r>
    </w:p>
    <w:bookmarkStart w:id="64" w:name="P64"/>
    <w:bookmarkEnd w:id="64"/>
    <w:p>
      <w:pPr>
        <w:pStyle w:val="0"/>
        <w:spacing w:before="200" w:line-rule="auto"/>
        <w:ind w:firstLine="540"/>
        <w:jc w:val="both"/>
      </w:pPr>
      <w:r>
        <w:rPr>
          <w:sz w:val="20"/>
        </w:rPr>
        <w:t xml:space="preserve">15. Рассмотрение представленных для согласования устава казачьего общества документов и принятие по ним решения производится должностными лицами, названными в </w:t>
      </w:r>
      <w:hyperlink w:history="0" w:anchor="P35" w:tooltip="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согласовываются с атаманом районного (юртового) либо окружного (отдельского) казачьего общества (если районное (юртовое) либо окружное (отдельское) казачье общество осуществляет деятельность на территории субъекта Российской Федерации, на которо...">
        <w:r>
          <w:rPr>
            <w:sz w:val="20"/>
            <w:color w:val="0000ff"/>
          </w:rPr>
          <w:t xml:space="preserve">пунктах 2</w:t>
        </w:r>
      </w:hyperlink>
      <w:r>
        <w:rPr>
          <w:sz w:val="20"/>
        </w:rPr>
        <w:t xml:space="preserve"> - </w:t>
      </w:r>
      <w:hyperlink w:history="0" w:anchor="P49" w:tooltip="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согласовываются с высшими должностными лицами соответствующих субъектов Российской Федерации, а также с атаманом всероссийского войскового казачьего общества.">
        <w:r>
          <w:rPr>
            <w:sz w:val="20"/>
            <w:color w:val="0000ff"/>
          </w:rPr>
          <w:t xml:space="preserve">9</w:t>
        </w:r>
      </w:hyperlink>
      <w:r>
        <w:rPr>
          <w:sz w:val="20"/>
        </w:rPr>
        <w:t xml:space="preserve"> настоящего положения, в течение 14 календарных дней со дня поступления указанных документов.</w:t>
      </w:r>
    </w:p>
    <w:p>
      <w:pPr>
        <w:pStyle w:val="0"/>
        <w:spacing w:before="200" w:line-rule="auto"/>
        <w:ind w:firstLine="540"/>
        <w:jc w:val="both"/>
      </w:pPr>
      <w:r>
        <w:rPr>
          <w:sz w:val="20"/>
        </w:rPr>
        <w:t xml:space="preserve">16. По истечении срока, установленного </w:t>
      </w:r>
      <w:hyperlink w:history="0" w:anchor="P64" w:tooltip="15. Рассмотрение представленных для согласования устава казачьего общества документов и принятие по ним решения производится должностными лицами, названными в пунктах 2 - 9 настоящего положения, в течение 14 календарных дней со дня поступления указанных документов.">
        <w:r>
          <w:rPr>
            <w:sz w:val="20"/>
            <w:color w:val="0000ff"/>
          </w:rPr>
          <w:t xml:space="preserve">пунктом 15</w:t>
        </w:r>
      </w:hyperlink>
      <w:r>
        <w:rPr>
          <w:sz w:val="20"/>
        </w:rPr>
        <w:t xml:space="preserve"> настоящего положения, принимается решение о согласовании либо об отказе в согласовании устава казачьего общества. О принятом решении соответствующее должностное лицо информирует атамана казачьего общества либо уполномоченное лицо в письменной форме.</w:t>
      </w:r>
    </w:p>
    <w:p>
      <w:pPr>
        <w:pStyle w:val="0"/>
        <w:spacing w:before="200" w:line-rule="auto"/>
        <w:ind w:firstLine="540"/>
        <w:jc w:val="both"/>
      </w:pPr>
      <w:r>
        <w:rPr>
          <w:sz w:val="20"/>
        </w:rPr>
        <w:t xml:space="preserve">17. В случае принятия решения об отказе в согласовании устава казачьего общества в уведомлении указываются основания, послужившие причиной для принятия указанного решения.</w:t>
      </w:r>
    </w:p>
    <w:p>
      <w:pPr>
        <w:pStyle w:val="0"/>
        <w:spacing w:before="200" w:line-rule="auto"/>
        <w:ind w:firstLine="540"/>
        <w:jc w:val="both"/>
      </w:pPr>
      <w:r>
        <w:rPr>
          <w:sz w:val="20"/>
        </w:rPr>
        <w:t xml:space="preserve">18. Согласование устава казачьего общества оформляется служебным письмом, подписанным непосредственно должностными лицами, названными в </w:t>
      </w:r>
      <w:hyperlink w:history="0" w:anchor="P35" w:tooltip="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согласовываются с атаманом районного (юртового) либо окружного (отдельского) казачьего общества (если районное (юртовое) либо окружное (отдельское) казачье общество осуществляет деятельность на территории субъекта Российской Федерации, на которо...">
        <w:r>
          <w:rPr>
            <w:sz w:val="20"/>
            <w:color w:val="0000ff"/>
          </w:rPr>
          <w:t xml:space="preserve">пунктах 2</w:t>
        </w:r>
      </w:hyperlink>
      <w:r>
        <w:rPr>
          <w:sz w:val="20"/>
        </w:rPr>
        <w:t xml:space="preserve"> - </w:t>
      </w:r>
      <w:hyperlink w:history="0" w:anchor="P49" w:tooltip="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согласовываются с высшими должностными лицами соответствующих субъектов Российской Федерации, а также с атаманом всероссийского войскового казачьего общества.">
        <w:r>
          <w:rPr>
            <w:sz w:val="20"/>
            <w:color w:val="0000ff"/>
          </w:rPr>
          <w:t xml:space="preserve">9</w:t>
        </w:r>
      </w:hyperlink>
      <w:r>
        <w:rPr>
          <w:sz w:val="20"/>
        </w:rPr>
        <w:t xml:space="preserve"> настоящего положения.</w:t>
      </w:r>
    </w:p>
    <w:p>
      <w:pPr>
        <w:pStyle w:val="0"/>
        <w:spacing w:before="200" w:line-rule="auto"/>
        <w:ind w:firstLine="540"/>
        <w:jc w:val="both"/>
      </w:pPr>
      <w:r>
        <w:rPr>
          <w:sz w:val="20"/>
        </w:rPr>
        <w:t xml:space="preserve">19. Основаниями для отказа в согласовании устава действующего казачьего общества являются:</w:t>
      </w:r>
    </w:p>
    <w:p>
      <w:pPr>
        <w:pStyle w:val="0"/>
        <w:spacing w:before="200" w:line-rule="auto"/>
        <w:ind w:firstLine="540"/>
        <w:jc w:val="both"/>
      </w:pPr>
      <w:r>
        <w:rPr>
          <w:sz w:val="20"/>
        </w:rPr>
        <w:t xml:space="preserve">а) несоблюдение требований к порядку созыва и проведения заседания высшего органа управления казачьего общества, установленных </w:t>
      </w:r>
      <w:hyperlink w:history="0" r:id="rId25" w:tooltip="&quot;Гражданский кодекс Российской Федерации (часть первая)&quot; от 30.11.1994 N 51-ФЗ (ред. от 08.08.2024, с изм. от 31.10.2024) {КонсультантПлюс}">
        <w:r>
          <w:rPr>
            <w:sz w:val="20"/>
            <w:color w:val="0000ff"/>
          </w:rPr>
          <w:t xml:space="preserve">главами 4</w:t>
        </w:r>
      </w:hyperlink>
      <w:r>
        <w:rPr>
          <w:sz w:val="20"/>
        </w:rPr>
        <w:t xml:space="preserve"> и </w:t>
      </w:r>
      <w:hyperlink w:history="0" r:id="rId26" w:tooltip="&quot;Гражданский кодекс Российской Федерации (часть первая)&quot; от 30.11.1994 N 51-ФЗ (ред. от 08.08.2024, с изм. от 31.10.2024) {КонсультантПлюс}">
        <w:r>
          <w:rPr>
            <w:sz w:val="20"/>
            <w:color w:val="0000ff"/>
          </w:rPr>
          <w:t xml:space="preserve">9.1</w:t>
        </w:r>
      </w:hyperlink>
      <w:r>
        <w:rPr>
          <w:sz w:val="20"/>
        </w:rPr>
        <w:t xml:space="preserve"> Гражданского кодекса Российской Федерации и иными федеральными законами в сфере деятельности некоммерческих организаций, а также уставом казачьего общества;</w:t>
      </w:r>
    </w:p>
    <w:p>
      <w:pPr>
        <w:pStyle w:val="0"/>
        <w:spacing w:before="200" w:line-rule="auto"/>
        <w:ind w:firstLine="540"/>
        <w:jc w:val="both"/>
      </w:pPr>
      <w:r>
        <w:rPr>
          <w:sz w:val="20"/>
        </w:rPr>
        <w:t xml:space="preserve">б) непредставление или представление неполного комплекта документов, предусмотренных </w:t>
      </w:r>
      <w:hyperlink w:history="0" w:anchor="P54" w:tooltip="11.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 названным в пунктах 2 - 9 настоящего положения, представление о согласовании устава казачьего общества. К представлению прилагаются:">
        <w:r>
          <w:rPr>
            <w:sz w:val="20"/>
            <w:color w:val="0000ff"/>
          </w:rPr>
          <w:t xml:space="preserve">пунктом 11</w:t>
        </w:r>
      </w:hyperlink>
      <w:r>
        <w:rPr>
          <w:sz w:val="20"/>
        </w:rPr>
        <w:t xml:space="preserve"> настоящего положения, несоблюдение требований к их оформлению, порядку и сроку представления;</w:t>
      </w:r>
    </w:p>
    <w:p>
      <w:pPr>
        <w:pStyle w:val="0"/>
        <w:spacing w:before="200" w:line-rule="auto"/>
        <w:ind w:firstLine="540"/>
        <w:jc w:val="both"/>
      </w:pPr>
      <w:r>
        <w:rPr>
          <w:sz w:val="20"/>
        </w:rPr>
        <w:t xml:space="preserve">в) наличие в представленных документах недостоверных или неполных сведений.</w:t>
      </w:r>
    </w:p>
    <w:bookmarkStart w:id="72" w:name="P72"/>
    <w:bookmarkEnd w:id="72"/>
    <w:p>
      <w:pPr>
        <w:pStyle w:val="0"/>
        <w:spacing w:before="200" w:line-rule="auto"/>
        <w:ind w:firstLine="540"/>
        <w:jc w:val="both"/>
      </w:pPr>
      <w:r>
        <w:rPr>
          <w:sz w:val="20"/>
        </w:rPr>
        <w:t xml:space="preserve">20. Основаниями для отказа в согласовании устава создаваемого казачьего общества являются:</w:t>
      </w:r>
    </w:p>
    <w:p>
      <w:pPr>
        <w:pStyle w:val="0"/>
        <w:spacing w:before="200" w:line-rule="auto"/>
        <w:ind w:firstLine="540"/>
        <w:jc w:val="both"/>
      </w:pPr>
      <w:r>
        <w:rPr>
          <w:sz w:val="20"/>
        </w:rPr>
        <w:t xml:space="preserve">а) несоблюдение требований к порядку созыва и проведения заседания учредительного собрания (круга, сбора) казачьего общества, установленных </w:t>
      </w:r>
      <w:hyperlink w:history="0" r:id="rId27" w:tooltip="&quot;Гражданский кодекс Российской Федерации (часть первая)&quot; от 30.11.1994 N 51-ФЗ (ред. от 08.08.2024, с изм. от 31.10.2024) {КонсультантПлюс}">
        <w:r>
          <w:rPr>
            <w:sz w:val="20"/>
            <w:color w:val="0000ff"/>
          </w:rPr>
          <w:t xml:space="preserve">главами 4</w:t>
        </w:r>
      </w:hyperlink>
      <w:r>
        <w:rPr>
          <w:sz w:val="20"/>
        </w:rPr>
        <w:t xml:space="preserve"> и </w:t>
      </w:r>
      <w:hyperlink w:history="0" r:id="rId28" w:tooltip="&quot;Гражданский кодекс Российской Федерации (часть первая)&quot; от 30.11.1994 N 51-ФЗ (ред. от 08.08.2024, с изм. от 31.10.2024) {КонсультантПлюс}">
        <w:r>
          <w:rPr>
            <w:sz w:val="20"/>
            <w:color w:val="0000ff"/>
          </w:rPr>
          <w:t xml:space="preserve">9.1</w:t>
        </w:r>
      </w:hyperlink>
      <w:r>
        <w:rPr>
          <w:sz w:val="20"/>
        </w:rPr>
        <w:t xml:space="preserve"> Гражданского кодекса Российской Федерации и иными федеральными законами в сфере деятельности некоммерческих организаций;</w:t>
      </w:r>
    </w:p>
    <w:p>
      <w:pPr>
        <w:pStyle w:val="0"/>
        <w:spacing w:before="200" w:line-rule="auto"/>
        <w:ind w:firstLine="540"/>
        <w:jc w:val="both"/>
      </w:pPr>
      <w:r>
        <w:rPr>
          <w:sz w:val="20"/>
        </w:rPr>
        <w:t xml:space="preserve">б) непредставление или представление неполного комплекта документов, предусмотренных </w:t>
      </w:r>
      <w:hyperlink w:history="0" w:anchor="P58" w:tooltip="12. Для согласования устава создаваемого казачьего общества лицо, уполномоченное учредительным собранием (кругом, сбором) создаваемого казачьего общества (далее - уполномоченное лицо), в течение 14 календарных дней со дня принятия учредительным собранием (кругом, сбором) решения об учреждении казачьего общества направляет соответствующим должностным лицам, названным в пунктах 2 - 9 настоящего положения, представление о согласовании устава казачьего общества. К представлению прилагаются:">
        <w:r>
          <w:rPr>
            <w:sz w:val="20"/>
            <w:color w:val="0000ff"/>
          </w:rPr>
          <w:t xml:space="preserve">пунктом 12</w:t>
        </w:r>
      </w:hyperlink>
      <w:r>
        <w:rPr>
          <w:sz w:val="20"/>
        </w:rPr>
        <w:t xml:space="preserve"> настоящего положения, несоблюдение требований к их оформлению, порядку и сроку представления;</w:t>
      </w:r>
    </w:p>
    <w:p>
      <w:pPr>
        <w:pStyle w:val="0"/>
        <w:spacing w:before="200" w:line-rule="auto"/>
        <w:ind w:firstLine="540"/>
        <w:jc w:val="both"/>
      </w:pPr>
      <w:r>
        <w:rPr>
          <w:sz w:val="20"/>
        </w:rPr>
        <w:t xml:space="preserve">в) наличие в представленных документах недостоверных или неполных сведений.</w:t>
      </w:r>
    </w:p>
    <w:p>
      <w:pPr>
        <w:pStyle w:val="0"/>
        <w:spacing w:before="200" w:line-rule="auto"/>
        <w:ind w:firstLine="540"/>
        <w:jc w:val="both"/>
      </w:pPr>
      <w:r>
        <w:rPr>
          <w:sz w:val="20"/>
        </w:rPr>
        <w:t xml:space="preserve">21. Отказ в согласовании устава казачьего общества не является препятствием для повторного направления должностным лицам, названным в </w:t>
      </w:r>
      <w:hyperlink w:history="0" w:anchor="P35" w:tooltip="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согласовываются с атаманом районного (юртового) либо окружного (отдельского) казачьего общества (если районное (юртовое) либо окружное (отдельское) казачье общество осуществляет деятельность на территории субъекта Российской Федерации, на которо...">
        <w:r>
          <w:rPr>
            <w:sz w:val="20"/>
            <w:color w:val="0000ff"/>
          </w:rPr>
          <w:t xml:space="preserve">пунктах 2</w:t>
        </w:r>
      </w:hyperlink>
      <w:r>
        <w:rPr>
          <w:sz w:val="20"/>
        </w:rPr>
        <w:t xml:space="preserve"> - </w:t>
      </w:r>
      <w:hyperlink w:history="0" w:anchor="P49" w:tooltip="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согласовываются с высшими должностными лицами соответствующих субъектов Российской Федерации, а также с атаманом всероссийского войскового казачьего общества.">
        <w:r>
          <w:rPr>
            <w:sz w:val="20"/>
            <w:color w:val="0000ff"/>
          </w:rPr>
          <w:t xml:space="preserve">9</w:t>
        </w:r>
      </w:hyperlink>
      <w:r>
        <w:rPr>
          <w:sz w:val="20"/>
        </w:rPr>
        <w:t xml:space="preserve"> настоящего положения, представления о согласовании устава казачьего общества и документов, предусмотренных </w:t>
      </w:r>
      <w:hyperlink w:history="0" w:anchor="P54" w:tooltip="11.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 названным в пунктах 2 - 9 настоящего положения, представление о согласовании устава казачьего общества. К представлению прилагаются:">
        <w:r>
          <w:rPr>
            <w:sz w:val="20"/>
            <w:color w:val="0000ff"/>
          </w:rPr>
          <w:t xml:space="preserve">пунктами 11</w:t>
        </w:r>
      </w:hyperlink>
      <w:r>
        <w:rPr>
          <w:sz w:val="20"/>
        </w:rPr>
        <w:t xml:space="preserve"> и </w:t>
      </w:r>
      <w:hyperlink w:history="0" w:anchor="P58" w:tooltip="12. Для согласования устава создаваемого казачьего общества лицо, уполномоченное учредительным собранием (кругом, сбором) создаваемого казачьего общества (далее - уполномоченное лицо), в течение 14 календарных дней со дня принятия учредительным собранием (кругом, сбором) решения об учреждении казачьего общества направляет соответствующим должностным лицам, названным в пунктах 2 - 9 настоящего положения, представление о согласовании устава казачьего общества. К представлению прилагаются:">
        <w:r>
          <w:rPr>
            <w:sz w:val="20"/>
            <w:color w:val="0000ff"/>
          </w:rPr>
          <w:t xml:space="preserve">12</w:t>
        </w:r>
      </w:hyperlink>
      <w:r>
        <w:rPr>
          <w:sz w:val="20"/>
        </w:rPr>
        <w:t xml:space="preserve"> настоящего положения, при условии устранения оснований, послуживших причиной для принятия указанного решения.</w:t>
      </w:r>
    </w:p>
    <w:p>
      <w:pPr>
        <w:pStyle w:val="0"/>
        <w:spacing w:before="200" w:line-rule="auto"/>
        <w:ind w:firstLine="540"/>
        <w:jc w:val="both"/>
      </w:pPr>
      <w:r>
        <w:rPr>
          <w:sz w:val="20"/>
        </w:rPr>
        <w:t xml:space="preserve">Повторное представление о согласовании устава казачьего общества и документов, предусмотренных </w:t>
      </w:r>
      <w:hyperlink w:history="0" w:anchor="P54" w:tooltip="11.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 названным в пунктах 2 - 9 настоящего положения, представление о согласовании устава казачьего общества. К представлению прилагаются:">
        <w:r>
          <w:rPr>
            <w:sz w:val="20"/>
            <w:color w:val="0000ff"/>
          </w:rPr>
          <w:t xml:space="preserve">пунктами 11</w:t>
        </w:r>
      </w:hyperlink>
      <w:r>
        <w:rPr>
          <w:sz w:val="20"/>
        </w:rPr>
        <w:t xml:space="preserve"> и </w:t>
      </w:r>
      <w:hyperlink w:history="0" w:anchor="P58" w:tooltip="12. Для согласования устава создаваемого казачьего общества лицо, уполномоченное учредительным собранием (кругом, сбором) создаваемого казачьего общества (далее - уполномоченное лицо), в течение 14 календарных дней со дня принятия учредительным собранием (кругом, сбором) решения об учреждении казачьего общества направляет соответствующим должностным лицам, названным в пунктах 2 - 9 настоящего положения, представление о согласовании устава казачьего общества. К представлению прилагаются:">
        <w:r>
          <w:rPr>
            <w:sz w:val="20"/>
            <w:color w:val="0000ff"/>
          </w:rPr>
          <w:t xml:space="preserve">12</w:t>
        </w:r>
      </w:hyperlink>
      <w:r>
        <w:rPr>
          <w:sz w:val="20"/>
        </w:rPr>
        <w:t xml:space="preserve"> настоящего положения, и принятие по этому представлению решения осуществляются в порядке, предусмотренном </w:t>
      </w:r>
      <w:hyperlink w:history="0" w:anchor="P62" w:tooltip="13. В случае если устав казачьего общества подлежит согласованию с атаманом иного казачьего общества, устав казачьего общества направляется для согласования указанному атаману до направления другим должностным лицам, названным в пунктах 2 - 9 настоящего положения. В последующем к представлению о согласовании устава казачьего общества указанными должностными лицами прилагается заверенная подписью атамана казачьего общества либо уполномоченного лица копия письма о согласовании устава казачьего общества ата...">
        <w:r>
          <w:rPr>
            <w:sz w:val="20"/>
            <w:color w:val="0000ff"/>
          </w:rPr>
          <w:t xml:space="preserve">пунктами 13</w:t>
        </w:r>
      </w:hyperlink>
      <w:r>
        <w:rPr>
          <w:sz w:val="20"/>
        </w:rPr>
        <w:t xml:space="preserve"> - </w:t>
      </w:r>
      <w:hyperlink w:history="0" w:anchor="P72" w:tooltip="20. Основаниями для отказа в согласовании устава создаваемого казачьего общества являются:">
        <w:r>
          <w:rPr>
            <w:sz w:val="20"/>
            <w:color w:val="0000ff"/>
          </w:rPr>
          <w:t xml:space="preserve">20</w:t>
        </w:r>
      </w:hyperlink>
      <w:r>
        <w:rPr>
          <w:sz w:val="20"/>
        </w:rPr>
        <w:t xml:space="preserve"> настоящего положения.</w:t>
      </w:r>
    </w:p>
    <w:p>
      <w:pPr>
        <w:pStyle w:val="0"/>
        <w:spacing w:before="200" w:line-rule="auto"/>
        <w:ind w:firstLine="540"/>
        <w:jc w:val="both"/>
      </w:pPr>
      <w:r>
        <w:rPr>
          <w:sz w:val="20"/>
        </w:rPr>
        <w:t xml:space="preserve">Предельное количество повторных направлений представления о согласовании устава казачьего общества и документов, предусмотренных </w:t>
      </w:r>
      <w:hyperlink w:history="0" w:anchor="P54" w:tooltip="11.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 названным в пунктах 2 - 9 настоящего положения, представление о согласовании устава казачьего общества. К представлению прилагаются:">
        <w:r>
          <w:rPr>
            <w:sz w:val="20"/>
            <w:color w:val="0000ff"/>
          </w:rPr>
          <w:t xml:space="preserve">пунктами 11</w:t>
        </w:r>
      </w:hyperlink>
      <w:r>
        <w:rPr>
          <w:sz w:val="20"/>
        </w:rPr>
        <w:t xml:space="preserve"> и </w:t>
      </w:r>
      <w:hyperlink w:history="0" w:anchor="P58" w:tooltip="12. Для согласования устава создаваемого казачьего общества лицо, уполномоченное учредительным собранием (кругом, сбором) создаваемого казачьего общества (далее - уполномоченное лицо), в течение 14 календарных дней со дня принятия учредительным собранием (кругом, сбором) решения об учреждении казачьего общества направляет соответствующим должностным лицам, названным в пунктах 2 - 9 настоящего положения, представление о согласовании устава казачьего общества. К представлению прилагаются:">
        <w:r>
          <w:rPr>
            <w:sz w:val="20"/>
            <w:color w:val="0000ff"/>
          </w:rPr>
          <w:t xml:space="preserve">12</w:t>
        </w:r>
      </w:hyperlink>
      <w:r>
        <w:rPr>
          <w:sz w:val="20"/>
        </w:rPr>
        <w:t xml:space="preserve"> настоящего положения, не ограничено.</w:t>
      </w:r>
    </w:p>
    <w:bookmarkStart w:id="79" w:name="P79"/>
    <w:bookmarkEnd w:id="79"/>
    <w:p>
      <w:pPr>
        <w:pStyle w:val="0"/>
        <w:spacing w:before="200" w:line-rule="auto"/>
        <w:ind w:firstLine="540"/>
        <w:jc w:val="both"/>
      </w:pPr>
      <w:r>
        <w:rPr>
          <w:sz w:val="20"/>
        </w:rPr>
        <w:t xml:space="preserve">22.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утверждаются главами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w:t>
      </w:r>
    </w:p>
    <w:p>
      <w:pPr>
        <w:pStyle w:val="0"/>
        <w:spacing w:before="200" w:line-rule="auto"/>
        <w:ind w:firstLine="540"/>
        <w:jc w:val="both"/>
      </w:pPr>
      <w:r>
        <w:rPr>
          <w:sz w:val="20"/>
        </w:rPr>
        <w:t xml:space="preserve">23. Уставы хуторских, станичных, городских казачьих обществ, создаваемых (действующих) на территориях двух и более городских или сельских поселений, входящих в состав одного муниципального района, утверждаются главой муниципального района.</w:t>
      </w:r>
    </w:p>
    <w:p>
      <w:pPr>
        <w:pStyle w:val="0"/>
        <w:spacing w:before="200" w:line-rule="auto"/>
        <w:ind w:firstLine="540"/>
        <w:jc w:val="both"/>
      </w:pPr>
      <w:r>
        <w:rPr>
          <w:sz w:val="20"/>
        </w:rPr>
        <w:t xml:space="preserve">24. Уставы хуторских, станичных, городских казачьих обществ, создаваемых (действующих) на территориях двух и более внутригородских районов, входящих в состав одного городского округа с внутригородским делением, на территориях двух и более внутригородских муниципальных образований городов федерального значения, утверждаются главой городского округа с внутригородским делением, высшим должностным лицом города федерального значения либо уполномоченным им должностным лицом.</w:t>
      </w:r>
    </w:p>
    <w:p>
      <w:pPr>
        <w:pStyle w:val="0"/>
        <w:jc w:val="both"/>
      </w:pPr>
      <w:r>
        <w:rPr>
          <w:sz w:val="20"/>
        </w:rPr>
        <w:t xml:space="preserve">(в ред. </w:t>
      </w:r>
      <w:hyperlink w:history="0" r:id="rId29" w:tooltip="Приказ ФАДН России от 07.05.2024 N 72 &quot;О внесении изменений в Типовое положение о согласовании и утверждении уставов казачьих обществ, утвержденное приказом Федерального агентства по делам национальностей от 6 апреля 2020 г. N 45&quot; (Зарегистрировано в Минюсте России 10.06.2024 N 78508) {КонсультантПлюс}">
        <w:r>
          <w:rPr>
            <w:sz w:val="20"/>
            <w:color w:val="0000ff"/>
          </w:rPr>
          <w:t xml:space="preserve">Приказа</w:t>
        </w:r>
      </w:hyperlink>
      <w:r>
        <w:rPr>
          <w:sz w:val="20"/>
        </w:rPr>
        <w:t xml:space="preserve"> ФАДН России от 07.05.2024 N 72)</w:t>
      </w:r>
    </w:p>
    <w:p>
      <w:pPr>
        <w:pStyle w:val="0"/>
        <w:spacing w:before="200" w:line-rule="auto"/>
        <w:ind w:firstLine="540"/>
        <w:jc w:val="both"/>
      </w:pPr>
      <w:r>
        <w:rPr>
          <w:sz w:val="20"/>
        </w:rPr>
        <w:t xml:space="preserve">25. Уставы районных (юртовых) казачьих обществ, создаваемых (действующих) на территориях муниципальных округов, городских округов, внутригородских районов городских округов с внутригородским делением, муниципальных районов, утверждаются главами муниципальных округов, городских округов, внутригородских районов городских округов с внутригородским делением, муниципальных районов.</w:t>
      </w:r>
    </w:p>
    <w:p>
      <w:pPr>
        <w:pStyle w:val="0"/>
        <w:jc w:val="both"/>
      </w:pPr>
      <w:r>
        <w:rPr>
          <w:sz w:val="20"/>
        </w:rPr>
        <w:t xml:space="preserve">(п. 25 в ред. </w:t>
      </w:r>
      <w:hyperlink w:history="0" r:id="rId30" w:tooltip="Приказ ФАДН России от 07.05.2024 N 72 &quot;О внесении изменений в Типовое положение о согласовании и утверждении уставов казачьих обществ, утвержденное приказом Федерального агентства по делам национальностей от 6 апреля 2020 г. N 45&quot; (Зарегистрировано в Минюсте России 10.06.2024 N 78508) {КонсультантПлюс}">
        <w:r>
          <w:rPr>
            <w:sz w:val="20"/>
            <w:color w:val="0000ff"/>
          </w:rPr>
          <w:t xml:space="preserve">Приказа</w:t>
        </w:r>
      </w:hyperlink>
      <w:r>
        <w:rPr>
          <w:sz w:val="20"/>
        </w:rPr>
        <w:t xml:space="preserve"> ФАДН России от 07.05.2024 N 72)</w:t>
      </w:r>
    </w:p>
    <w:p>
      <w:pPr>
        <w:pStyle w:val="0"/>
        <w:spacing w:before="200" w:line-rule="auto"/>
        <w:ind w:firstLine="540"/>
        <w:jc w:val="both"/>
      </w:pPr>
      <w:r>
        <w:rPr>
          <w:sz w:val="20"/>
        </w:rPr>
        <w:t xml:space="preserve">26. Уставы районных (юртовых) казачьих обществ, создаваемых (действующих) на территориях двух и более муниципальных районов, внутригородских муниципальных образований городов федерального значения либо на территориях муниципальных районов и муниципальных округов, муниципальных районов и городских округов, утверждаются высшим должностным лицом субъекта Российской Федерации.</w:t>
      </w:r>
    </w:p>
    <w:p>
      <w:pPr>
        <w:pStyle w:val="0"/>
        <w:jc w:val="both"/>
      </w:pPr>
      <w:r>
        <w:rPr>
          <w:sz w:val="20"/>
        </w:rPr>
        <w:t xml:space="preserve">(в ред. </w:t>
      </w:r>
      <w:hyperlink w:history="0" r:id="rId31" w:tooltip="Приказ ФАДН России от 07.05.2024 N 72 &quot;О внесении изменений в Типовое положение о согласовании и утверждении уставов казачьих обществ, утвержденное приказом Федерального агентства по делам национальностей от 6 апреля 2020 г. N 45&quot; (Зарегистрировано в Минюсте России 10.06.2024 N 78508) {КонсультантПлюс}">
        <w:r>
          <w:rPr>
            <w:sz w:val="20"/>
            <w:color w:val="0000ff"/>
          </w:rPr>
          <w:t xml:space="preserve">Приказа</w:t>
        </w:r>
      </w:hyperlink>
      <w:r>
        <w:rPr>
          <w:sz w:val="20"/>
        </w:rPr>
        <w:t xml:space="preserve"> ФАДН России от 07.05.2024 N 72)</w:t>
      </w:r>
    </w:p>
    <w:p>
      <w:pPr>
        <w:pStyle w:val="0"/>
        <w:spacing w:before="200" w:line-rule="auto"/>
        <w:ind w:firstLine="540"/>
        <w:jc w:val="both"/>
      </w:pPr>
      <w:r>
        <w:rPr>
          <w:sz w:val="20"/>
        </w:rPr>
        <w:t xml:space="preserve">27. Уставы окружных (отдельских) казачьих обществ, создаваемых (действующих) на территории субъекта Российской Федерации, утверждаются высшим должностным лицом субъекта Российской Федерации.</w:t>
      </w:r>
    </w:p>
    <w:p>
      <w:pPr>
        <w:pStyle w:val="0"/>
        <w:jc w:val="both"/>
      </w:pPr>
      <w:r>
        <w:rPr>
          <w:sz w:val="20"/>
        </w:rPr>
        <w:t xml:space="preserve">(в ред. </w:t>
      </w:r>
      <w:hyperlink w:history="0" r:id="rId32" w:tooltip="Приказ ФАДН России от 07.05.2024 N 72 &quot;О внесении изменений в Типовое положение о согласовании и утверждении уставов казачьих обществ, утвержденное приказом Федерального агентства по делам национальностей от 6 апреля 2020 г. N 45&quot; (Зарегистрировано в Минюсте России 10.06.2024 N 78508) {КонсультантПлюс}">
        <w:r>
          <w:rPr>
            <w:sz w:val="20"/>
            <w:color w:val="0000ff"/>
          </w:rPr>
          <w:t xml:space="preserve">Приказа</w:t>
        </w:r>
      </w:hyperlink>
      <w:r>
        <w:rPr>
          <w:sz w:val="20"/>
        </w:rPr>
        <w:t xml:space="preserve"> ФАДН России от 07.05.2024 N 72)</w:t>
      </w:r>
    </w:p>
    <w:p>
      <w:pPr>
        <w:pStyle w:val="0"/>
        <w:spacing w:before="200" w:line-rule="auto"/>
        <w:ind w:firstLine="540"/>
        <w:jc w:val="both"/>
      </w:pPr>
      <w:r>
        <w:rPr>
          <w:sz w:val="20"/>
        </w:rPr>
        <w:t xml:space="preserve">28. Уставы окружных (отдельских) казачьих обществ, создаваемых (действующих) на территориях двух и более субъектов Российской Федерации, утверждаются руководителем ФАДН России.</w:t>
      </w:r>
    </w:p>
    <w:bookmarkStart w:id="90" w:name="P90"/>
    <w:bookmarkEnd w:id="90"/>
    <w:p>
      <w:pPr>
        <w:pStyle w:val="0"/>
        <w:spacing w:before="200" w:line-rule="auto"/>
        <w:ind w:firstLine="540"/>
        <w:jc w:val="both"/>
      </w:pPr>
      <w:r>
        <w:rPr>
          <w:sz w:val="20"/>
        </w:rPr>
        <w:t xml:space="preserve">29.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утверждаются руководителем ФАДН России.</w:t>
      </w:r>
    </w:p>
    <w:p>
      <w:pPr>
        <w:pStyle w:val="0"/>
        <w:spacing w:before="200" w:line-rule="auto"/>
        <w:ind w:firstLine="540"/>
        <w:jc w:val="both"/>
      </w:pPr>
      <w:r>
        <w:rPr>
          <w:sz w:val="20"/>
        </w:rPr>
        <w:t xml:space="preserve">30. Утверждение уставов казачьих обществ осуществляется после их согласования должностными лицами, названными в </w:t>
      </w:r>
      <w:hyperlink w:history="0" w:anchor="P35" w:tooltip="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согласовываются с атаманом районного (юртового) либо окружного (отдельского) казачьего общества (если районное (юртовое) либо окружное (отдельское) казачье общество осуществляет деятельность на территории субъекта Российской Федерации, на которо...">
        <w:r>
          <w:rPr>
            <w:sz w:val="20"/>
            <w:color w:val="0000ff"/>
          </w:rPr>
          <w:t xml:space="preserve">пунктах 2</w:t>
        </w:r>
      </w:hyperlink>
      <w:r>
        <w:rPr>
          <w:sz w:val="20"/>
        </w:rPr>
        <w:t xml:space="preserve"> - </w:t>
      </w:r>
      <w:hyperlink w:history="0" w:anchor="P49" w:tooltip="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согласовываются с высшими должностными лицами соответствующих субъектов Российской Федерации, а также с атаманом всероссийского войскового казачьего общества.">
        <w:r>
          <w:rPr>
            <w:sz w:val="20"/>
            <w:color w:val="0000ff"/>
          </w:rPr>
          <w:t xml:space="preserve">9</w:t>
        </w:r>
      </w:hyperlink>
      <w:r>
        <w:rPr>
          <w:sz w:val="20"/>
        </w:rPr>
        <w:t xml:space="preserve"> настоящего положения.</w:t>
      </w:r>
    </w:p>
    <w:bookmarkStart w:id="92" w:name="P92"/>
    <w:bookmarkEnd w:id="92"/>
    <w:p>
      <w:pPr>
        <w:pStyle w:val="0"/>
        <w:spacing w:before="200" w:line-rule="auto"/>
        <w:ind w:firstLine="540"/>
        <w:jc w:val="both"/>
      </w:pPr>
      <w:r>
        <w:rPr>
          <w:sz w:val="20"/>
        </w:rPr>
        <w:t xml:space="preserve">31.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соответствующим должностным лицам, названным в </w:t>
      </w:r>
      <w:hyperlink w:history="0" w:anchor="P79" w:tooltip="2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утверждаются главами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w:r>
          <w:rPr>
            <w:sz w:val="20"/>
            <w:color w:val="0000ff"/>
          </w:rPr>
          <w:t xml:space="preserve">пунктах 22</w:t>
        </w:r>
      </w:hyperlink>
      <w:r>
        <w:rPr>
          <w:sz w:val="20"/>
        </w:rPr>
        <w:t xml:space="preserve"> - </w:t>
      </w:r>
      <w:hyperlink w:history="0" w:anchor="P90" w:tooltip="2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утверждаются руководителем ФАДН России.">
        <w:r>
          <w:rPr>
            <w:sz w:val="20"/>
            <w:color w:val="0000ff"/>
          </w:rPr>
          <w:t xml:space="preserve">29</w:t>
        </w:r>
      </w:hyperlink>
      <w:r>
        <w:rPr>
          <w:sz w:val="20"/>
        </w:rPr>
        <w:t xml:space="preserve"> настоящего положения, представление об утверждении устава казачьего общества. К представлению прилагаются:</w:t>
      </w:r>
    </w:p>
    <w:p>
      <w:pPr>
        <w:pStyle w:val="0"/>
        <w:spacing w:before="200" w:line-rule="auto"/>
        <w:ind w:firstLine="540"/>
        <w:jc w:val="both"/>
      </w:pPr>
      <w:r>
        <w:rPr>
          <w:sz w:val="20"/>
        </w:rPr>
        <w:t xml:space="preserve">а) копии документов, подтверждающих соблюдение требований к порядку созыва и проведения заседания высшего органа управления казачьего общества, установленных </w:t>
      </w:r>
      <w:hyperlink w:history="0" r:id="rId33" w:tooltip="&quot;Гражданский кодекс Российской Федерации (часть первая)&quot; от 30.11.1994 N 51-ФЗ (ред. от 08.08.2024, с изм. от 31.10.2024) {КонсультантПлюс}">
        <w:r>
          <w:rPr>
            <w:sz w:val="20"/>
            <w:color w:val="0000ff"/>
          </w:rPr>
          <w:t xml:space="preserve">главами 4</w:t>
        </w:r>
      </w:hyperlink>
      <w:r>
        <w:rPr>
          <w:sz w:val="20"/>
        </w:rPr>
        <w:t xml:space="preserve"> и </w:t>
      </w:r>
      <w:hyperlink w:history="0" r:id="rId34" w:tooltip="&quot;Гражданский кодекс Российской Федерации (часть первая)&quot; от 30.11.1994 N 51-ФЗ (ред. от 08.08.2024, с изм. от 31.10.2024) {КонсультантПлюс}">
        <w:r>
          <w:rPr>
            <w:sz w:val="20"/>
            <w:color w:val="0000ff"/>
          </w:rPr>
          <w:t xml:space="preserve">9.1</w:t>
        </w:r>
      </w:hyperlink>
      <w:r>
        <w:rPr>
          <w:sz w:val="20"/>
        </w:rPr>
        <w:t xml:space="preserve"> Гражданского кодекса Российской Федерации и иными федеральными законами в сфере деятельности некоммерческих организаций, а также уставом казачьего общества;</w:t>
      </w:r>
    </w:p>
    <w:p>
      <w:pPr>
        <w:pStyle w:val="0"/>
        <w:spacing w:before="200" w:line-rule="auto"/>
        <w:ind w:firstLine="540"/>
        <w:jc w:val="both"/>
      </w:pPr>
      <w:r>
        <w:rPr>
          <w:sz w:val="20"/>
        </w:rPr>
        <w:t xml:space="preserve">б) копия протокола заседания высшего органа управления казачьего общества, содержащего решение об утверждении устава этого казачьего общества;</w:t>
      </w:r>
    </w:p>
    <w:p>
      <w:pPr>
        <w:pStyle w:val="0"/>
        <w:spacing w:before="200" w:line-rule="auto"/>
        <w:ind w:firstLine="540"/>
        <w:jc w:val="both"/>
      </w:pPr>
      <w:r>
        <w:rPr>
          <w:sz w:val="20"/>
        </w:rPr>
        <w:t xml:space="preserve">в) копии писем о согласовании устава казачьего общества должностными лицами, названными в </w:t>
      </w:r>
      <w:hyperlink w:history="0" w:anchor="P35" w:tooltip="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согласовываются с атаманом районного (юртового) либо окружного (отдельского) казачьего общества (если районное (юртовое) либо окружное (отдельское) казачье общество осуществляет деятельность на территории субъекта Российской Федерации, на которо...">
        <w:r>
          <w:rPr>
            <w:sz w:val="20"/>
            <w:color w:val="0000ff"/>
          </w:rPr>
          <w:t xml:space="preserve">пунктах 2</w:t>
        </w:r>
      </w:hyperlink>
      <w:r>
        <w:rPr>
          <w:sz w:val="20"/>
        </w:rPr>
        <w:t xml:space="preserve">-</w:t>
      </w:r>
      <w:hyperlink w:history="0" w:anchor="P49" w:tooltip="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согласовываются с высшими должностными лицами соответствующих субъектов Российской Федерации, а также с атаманом всероссийского войскового казачьего общества.">
        <w:r>
          <w:rPr>
            <w:sz w:val="20"/>
            <w:color w:val="0000ff"/>
          </w:rPr>
          <w:t xml:space="preserve">9</w:t>
        </w:r>
      </w:hyperlink>
      <w:r>
        <w:rPr>
          <w:sz w:val="20"/>
        </w:rPr>
        <w:t xml:space="preserve"> настоящего положения;</w:t>
      </w:r>
    </w:p>
    <w:p>
      <w:pPr>
        <w:pStyle w:val="0"/>
        <w:spacing w:before="200" w:line-rule="auto"/>
        <w:ind w:firstLine="540"/>
        <w:jc w:val="both"/>
      </w:pPr>
      <w:r>
        <w:rPr>
          <w:sz w:val="20"/>
        </w:rPr>
        <w:t xml:space="preserve">г) устав казачьего общества на бумажном носителе и в электронном виде.</w:t>
      </w:r>
    </w:p>
    <w:bookmarkStart w:id="97" w:name="P97"/>
    <w:bookmarkEnd w:id="97"/>
    <w:p>
      <w:pPr>
        <w:pStyle w:val="0"/>
        <w:spacing w:before="200" w:line-rule="auto"/>
        <w:ind w:firstLine="540"/>
        <w:jc w:val="both"/>
      </w:pPr>
      <w:r>
        <w:rPr>
          <w:sz w:val="20"/>
        </w:rPr>
        <w:t xml:space="preserve">32.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соответствующим должностным лицам, названным в </w:t>
      </w:r>
      <w:hyperlink w:history="0" w:anchor="P79" w:tooltip="2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утверждаются главами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w:r>
          <w:rPr>
            <w:sz w:val="20"/>
            <w:color w:val="0000ff"/>
          </w:rPr>
          <w:t xml:space="preserve">пунктах 22</w:t>
        </w:r>
      </w:hyperlink>
      <w:r>
        <w:rPr>
          <w:sz w:val="20"/>
        </w:rPr>
        <w:t xml:space="preserve"> - </w:t>
      </w:r>
      <w:hyperlink w:history="0" w:anchor="P90" w:tooltip="2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утверждаются руководителем ФАДН России.">
        <w:r>
          <w:rPr>
            <w:sz w:val="20"/>
            <w:color w:val="0000ff"/>
          </w:rPr>
          <w:t xml:space="preserve">29</w:t>
        </w:r>
      </w:hyperlink>
      <w:r>
        <w:rPr>
          <w:sz w:val="20"/>
        </w:rPr>
        <w:t xml:space="preserve"> настоящего положения, представление об утверждении устава казачьего общества. К представлению прилагаются:</w:t>
      </w:r>
    </w:p>
    <w:p>
      <w:pPr>
        <w:pStyle w:val="0"/>
        <w:spacing w:before="200" w:line-rule="auto"/>
        <w:ind w:firstLine="540"/>
        <w:jc w:val="both"/>
      </w:pPr>
      <w:r>
        <w:rPr>
          <w:sz w:val="20"/>
        </w:rPr>
        <w:t xml:space="preserve">а) копии документов, подтверждающих соблюдение требований к порядку созыва и проведения заседания учредительного собрания (круга, сбора) казачьего общества, установленных Гражданским </w:t>
      </w:r>
      <w:hyperlink w:history="0" r:id="rId35"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Российской Федерации и иными федеральными законами в сфере деятельности некоммерческих организаций;</w:t>
      </w:r>
    </w:p>
    <w:p>
      <w:pPr>
        <w:pStyle w:val="0"/>
        <w:spacing w:before="200" w:line-rule="auto"/>
        <w:ind w:firstLine="540"/>
        <w:jc w:val="both"/>
      </w:pPr>
      <w:r>
        <w:rPr>
          <w:sz w:val="20"/>
        </w:rPr>
        <w:t xml:space="preserve">б) копия протокола учредительного собрания (круга, сбора), содержащего решение об утверждении устава казачьего общества;</w:t>
      </w:r>
    </w:p>
    <w:p>
      <w:pPr>
        <w:pStyle w:val="0"/>
        <w:spacing w:before="200" w:line-rule="auto"/>
        <w:ind w:firstLine="540"/>
        <w:jc w:val="both"/>
      </w:pPr>
      <w:r>
        <w:rPr>
          <w:sz w:val="20"/>
        </w:rPr>
        <w:t xml:space="preserve">в) копии писем о согласовании устава казачьего общества должностными лицами, названными в </w:t>
      </w:r>
      <w:hyperlink w:history="0" w:anchor="P35" w:tooltip="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согласовываются с атаманом районного (юртового) либо окружного (отдельского) казачьего общества (если районное (юртовое) либо окружное (отдельское) казачье общество осуществляет деятельность на территории субъекта Российской Федерации, на которо...">
        <w:r>
          <w:rPr>
            <w:sz w:val="20"/>
            <w:color w:val="0000ff"/>
          </w:rPr>
          <w:t xml:space="preserve">пунктах 2</w:t>
        </w:r>
      </w:hyperlink>
      <w:r>
        <w:rPr>
          <w:sz w:val="20"/>
        </w:rPr>
        <w:t xml:space="preserve"> - </w:t>
      </w:r>
      <w:hyperlink w:history="0" w:anchor="P49" w:tooltip="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согласовываются с высшими должностными лицами соответствующих субъектов Российской Федерации, а также с атаманом всероссийского войскового казачьего общества.">
        <w:r>
          <w:rPr>
            <w:sz w:val="20"/>
            <w:color w:val="0000ff"/>
          </w:rPr>
          <w:t xml:space="preserve">9</w:t>
        </w:r>
      </w:hyperlink>
      <w:r>
        <w:rPr>
          <w:sz w:val="20"/>
        </w:rPr>
        <w:t xml:space="preserve"> настоящего положения;</w:t>
      </w:r>
    </w:p>
    <w:p>
      <w:pPr>
        <w:pStyle w:val="0"/>
        <w:spacing w:before="200" w:line-rule="auto"/>
        <w:ind w:firstLine="540"/>
        <w:jc w:val="both"/>
      </w:pPr>
      <w:r>
        <w:rPr>
          <w:sz w:val="20"/>
        </w:rPr>
        <w:t xml:space="preserve">г) устав казачьего общества на бумажном носителе и в электронном виде.</w:t>
      </w:r>
    </w:p>
    <w:bookmarkStart w:id="102" w:name="P102"/>
    <w:bookmarkEnd w:id="102"/>
    <w:p>
      <w:pPr>
        <w:pStyle w:val="0"/>
        <w:spacing w:before="200" w:line-rule="auto"/>
        <w:ind w:firstLine="540"/>
        <w:jc w:val="both"/>
      </w:pPr>
      <w:r>
        <w:rPr>
          <w:sz w:val="20"/>
        </w:rPr>
        <w:t xml:space="preserve">33. Указанные в </w:t>
      </w:r>
      <w:hyperlink w:history="0" w:anchor="P92" w:tooltip="31.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соответствующим должностным лицам, названным в пунктах 22 - 29 настоящего положения, представление об утверждении устава казачьего общества. К представлению прилагаются:">
        <w:r>
          <w:rPr>
            <w:sz w:val="20"/>
            <w:color w:val="0000ff"/>
          </w:rPr>
          <w:t xml:space="preserve">пунктах 31</w:t>
        </w:r>
      </w:hyperlink>
      <w:r>
        <w:rPr>
          <w:sz w:val="20"/>
        </w:rPr>
        <w:t xml:space="preserve"> и </w:t>
      </w:r>
      <w:hyperlink w:history="0" w:anchor="P97" w:tooltip="32.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соответствующим должностным лицам, названным в пунктах 22 - 29 настоящего положения, представление об утверждении устава казачьего общества. К представлению прилагаются:">
        <w:r>
          <w:rPr>
            <w:sz w:val="20"/>
            <w:color w:val="0000ff"/>
          </w:rPr>
          <w:t xml:space="preserve">32</w:t>
        </w:r>
      </w:hyperlink>
      <w:r>
        <w:rPr>
          <w:sz w:val="20"/>
        </w:rPr>
        <w:t xml:space="preserve"> настоящего положения копии документов должны быть заверены подписью атамана казачьего общества либо уполномоченного лица. Документы (их копии), за исключением документов в электронном виде, содержащие более одного листа, должны быть прошиты, пронумерованы и заверены подписью атамана казачьего общества либо уполномоченного лица на обороте последнего листа на месте прошивки.</w:t>
      </w:r>
    </w:p>
    <w:bookmarkStart w:id="103" w:name="P103"/>
    <w:bookmarkEnd w:id="103"/>
    <w:p>
      <w:pPr>
        <w:pStyle w:val="0"/>
        <w:spacing w:before="200" w:line-rule="auto"/>
        <w:ind w:firstLine="540"/>
        <w:jc w:val="both"/>
      </w:pPr>
      <w:r>
        <w:rPr>
          <w:sz w:val="20"/>
        </w:rPr>
        <w:t xml:space="preserve">34. Рассмотрение представленных для утверждения устава казачьего общества документов и принятие по ним решения производится должностными лицами, названными в </w:t>
      </w:r>
      <w:hyperlink w:history="0" w:anchor="P79" w:tooltip="2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утверждаются главами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w:r>
          <w:rPr>
            <w:sz w:val="20"/>
            <w:color w:val="0000ff"/>
          </w:rPr>
          <w:t xml:space="preserve">пунктах 22</w:t>
        </w:r>
      </w:hyperlink>
      <w:r>
        <w:rPr>
          <w:sz w:val="20"/>
        </w:rPr>
        <w:t xml:space="preserve"> - </w:t>
      </w:r>
      <w:hyperlink w:history="0" w:anchor="P90" w:tooltip="2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утверждаются руководителем ФАДН России.">
        <w:r>
          <w:rPr>
            <w:sz w:val="20"/>
            <w:color w:val="0000ff"/>
          </w:rPr>
          <w:t xml:space="preserve">29</w:t>
        </w:r>
      </w:hyperlink>
      <w:r>
        <w:rPr>
          <w:sz w:val="20"/>
        </w:rPr>
        <w:t xml:space="preserve"> настоящего положения, в течение 30 календарных дней со дня поступления указанных документов.</w:t>
      </w:r>
    </w:p>
    <w:bookmarkStart w:id="104" w:name="P104"/>
    <w:bookmarkEnd w:id="104"/>
    <w:p>
      <w:pPr>
        <w:pStyle w:val="0"/>
        <w:spacing w:before="200" w:line-rule="auto"/>
        <w:ind w:firstLine="540"/>
        <w:jc w:val="both"/>
      </w:pPr>
      <w:r>
        <w:rPr>
          <w:sz w:val="20"/>
        </w:rPr>
        <w:t xml:space="preserve">35. По истечении срока, указанного в </w:t>
      </w:r>
      <w:hyperlink w:history="0" w:anchor="P103" w:tooltip="34. Рассмотрение представленных для утверждения устава казачьего общества документов и принятие по ним решения производится должностными лицами, названными в пунктах 22 - 29 настоящего положения, в течение 30 календарных дней со дня поступления указанных документов.">
        <w:r>
          <w:rPr>
            <w:sz w:val="20"/>
            <w:color w:val="0000ff"/>
          </w:rPr>
          <w:t xml:space="preserve">пункте 34</w:t>
        </w:r>
      </w:hyperlink>
      <w:r>
        <w:rPr>
          <w:sz w:val="20"/>
        </w:rPr>
        <w:t xml:space="preserve"> настоящего положения, принимается решение об утверждении либо об отказе в утверждении устава казачьего общества. О принятом решении соответствующее должностное лицо уведомляет атамана казачьего общества либо уполномоченное лицо в письменной форме.</w:t>
      </w:r>
    </w:p>
    <w:p>
      <w:pPr>
        <w:pStyle w:val="0"/>
        <w:spacing w:before="200" w:line-rule="auto"/>
        <w:ind w:firstLine="540"/>
        <w:jc w:val="both"/>
      </w:pPr>
      <w:r>
        <w:rPr>
          <w:sz w:val="20"/>
        </w:rPr>
        <w:t xml:space="preserve">36. В случае принятия решения об отказе в утверждении устава казачьего общества в уведомлении указываются основания, послужившие причиной для принятия указанного решения.</w:t>
      </w:r>
    </w:p>
    <w:p>
      <w:pPr>
        <w:pStyle w:val="0"/>
        <w:spacing w:before="200" w:line-rule="auto"/>
        <w:ind w:firstLine="540"/>
        <w:jc w:val="both"/>
      </w:pPr>
      <w:r>
        <w:rPr>
          <w:sz w:val="20"/>
        </w:rPr>
        <w:t xml:space="preserve">37. Утверждение устава казачьего общества оформляется правовым актом должностного лица, названного в </w:t>
      </w:r>
      <w:hyperlink w:history="0" w:anchor="P79" w:tooltip="2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утверждаются главами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w:r>
          <w:rPr>
            <w:sz w:val="20"/>
            <w:color w:val="0000ff"/>
          </w:rPr>
          <w:t xml:space="preserve">пунктах 22</w:t>
        </w:r>
      </w:hyperlink>
      <w:r>
        <w:rPr>
          <w:sz w:val="20"/>
        </w:rPr>
        <w:t xml:space="preserve"> - </w:t>
      </w:r>
      <w:hyperlink w:history="0" w:anchor="P90" w:tooltip="2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утверждаются руководителем ФАДН России.">
        <w:r>
          <w:rPr>
            <w:sz w:val="20"/>
            <w:color w:val="0000ff"/>
          </w:rPr>
          <w:t xml:space="preserve">29</w:t>
        </w:r>
      </w:hyperlink>
      <w:r>
        <w:rPr>
          <w:sz w:val="20"/>
        </w:rPr>
        <w:t xml:space="preserve"> настоящего положения. Копия правового акта об утверждении устава казачьего общества направляется атаману казачьего общества либо уполномоченному лицу одновременно с уведомлением, указанным в </w:t>
      </w:r>
      <w:hyperlink w:history="0" w:anchor="P104" w:tooltip="35. По истечении срока, указанного в пункте 34 настоящего положения, принимается решение об утверждении либо об отказе в утверждении устава казачьего общества. О принятом решении соответствующее должностное лицо уведомляет атамана казачьего общества либо уполномоченное лицо в письменной форме.">
        <w:r>
          <w:rPr>
            <w:sz w:val="20"/>
            <w:color w:val="0000ff"/>
          </w:rPr>
          <w:t xml:space="preserve">пункте 35</w:t>
        </w:r>
      </w:hyperlink>
      <w:r>
        <w:rPr>
          <w:sz w:val="20"/>
        </w:rPr>
        <w:t xml:space="preserve"> настоящего положения.</w:t>
      </w:r>
    </w:p>
    <w:p>
      <w:pPr>
        <w:pStyle w:val="0"/>
        <w:spacing w:before="200" w:line-rule="auto"/>
        <w:ind w:firstLine="540"/>
        <w:jc w:val="both"/>
      </w:pPr>
      <w:r>
        <w:rPr>
          <w:sz w:val="20"/>
        </w:rPr>
        <w:t xml:space="preserve">38. На титульном листе утверждаемого устава казачьего общества рекомендуется указывать:</w:t>
      </w:r>
    </w:p>
    <w:p>
      <w:pPr>
        <w:pStyle w:val="0"/>
        <w:spacing w:before="200" w:line-rule="auto"/>
        <w:ind w:firstLine="540"/>
        <w:jc w:val="both"/>
      </w:pPr>
      <w:r>
        <w:rPr>
          <w:sz w:val="20"/>
        </w:rPr>
        <w:t xml:space="preserve">слово УСТАВ (прописными буквами) и полное наименование казачьего общества;</w:t>
      </w:r>
    </w:p>
    <w:p>
      <w:pPr>
        <w:pStyle w:val="0"/>
        <w:spacing w:before="200" w:line-rule="auto"/>
        <w:ind w:firstLine="540"/>
        <w:jc w:val="both"/>
      </w:pPr>
      <w:r>
        <w:rPr>
          <w:sz w:val="20"/>
        </w:rPr>
        <w:t xml:space="preserve">год принятия учредительным собранием (кругом, сбором) решения об учреждении казачьего общества - для создаваемого казачьего общества, либо год принятия высшим органом управления казачьего общества решения об утверждении устава этого казачьего общества в утверждаемой редакции - для действующего казачьего общества (печатается выше границы нижнего поля страницы и выравнивается по центру);</w:t>
      </w:r>
    </w:p>
    <w:p>
      <w:pPr>
        <w:pStyle w:val="0"/>
        <w:spacing w:before="200" w:line-rule="auto"/>
        <w:ind w:firstLine="540"/>
        <w:jc w:val="both"/>
      </w:pPr>
      <w:r>
        <w:rPr>
          <w:sz w:val="20"/>
        </w:rPr>
        <w:t xml:space="preserve">гриф утверждения, состоящий из слова УТВЕРЖДЕНО (без кавычек и прописными буквами) и реквизитов правового акта, которым утверждается устав казачьего общества (располагается в правом верхнем углу титульного листа устава казачьего общества);</w:t>
      </w:r>
    </w:p>
    <w:p>
      <w:pPr>
        <w:pStyle w:val="0"/>
        <w:spacing w:before="200" w:line-rule="auto"/>
        <w:ind w:firstLine="540"/>
        <w:jc w:val="both"/>
      </w:pPr>
      <w:r>
        <w:rPr>
          <w:sz w:val="20"/>
        </w:rPr>
        <w:t xml:space="preserve">гриф согласования, состоящий из слова СОГЛАСОВАНО (без кавычек и прописными буквами), наименования должности, инициалов и фамилии лица, согласовавшего устав казачьего общества, реквизитов письма о согласовании устава казачьего общества (располагается в правом верхнем углу титульного листа устава казачьего общества под грифом утверждения; в случае согласования устава несколькими должностными лицами, названными в </w:t>
      </w:r>
      <w:hyperlink w:history="0" w:anchor="P35" w:tooltip="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согласовываются с атаманом районного (юртового) либо окружного (отдельского) казачьего общества (если районное (юртовое) либо окружное (отдельское) казачье общество осуществляет деятельность на территории субъекта Российской Федерации, на которо...">
        <w:r>
          <w:rPr>
            <w:sz w:val="20"/>
            <w:color w:val="0000ff"/>
          </w:rPr>
          <w:t xml:space="preserve">пунктах 2</w:t>
        </w:r>
      </w:hyperlink>
      <w:r>
        <w:rPr>
          <w:sz w:val="20"/>
        </w:rPr>
        <w:t xml:space="preserve"> - </w:t>
      </w:r>
      <w:hyperlink w:history="0" w:anchor="P49" w:tooltip="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согласовываются с высшими должностными лицами соответствующих субъектов Российской Федерации, а также с атаманом всероссийского войскового казачьего общества.">
        <w:r>
          <w:rPr>
            <w:sz w:val="20"/>
            <w:color w:val="0000ff"/>
          </w:rPr>
          <w:t xml:space="preserve">9</w:t>
        </w:r>
      </w:hyperlink>
      <w:r>
        <w:rPr>
          <w:sz w:val="20"/>
        </w:rPr>
        <w:t xml:space="preserve"> настоящего положения, грифы согласования располагаются вертикально под грифом утверждения с учетом очередности согласования, при большом количестве - на отдельном листе согласования).</w:t>
      </w:r>
    </w:p>
    <w:p>
      <w:pPr>
        <w:pStyle w:val="0"/>
        <w:spacing w:before="200" w:line-rule="auto"/>
        <w:ind w:firstLine="540"/>
        <w:jc w:val="both"/>
      </w:pPr>
      <w:r>
        <w:rPr>
          <w:sz w:val="20"/>
        </w:rPr>
        <w:t xml:space="preserve">Рекомендуемый образец титульного листа устава казачьего общества приведен в </w:t>
      </w:r>
      <w:hyperlink w:history="0" w:anchor="P134" w:tooltip="РЕКОМЕНДУЕМЫЙ ОБРАЗЕЦ">
        <w:r>
          <w:rPr>
            <w:sz w:val="20"/>
            <w:color w:val="0000ff"/>
          </w:rPr>
          <w:t xml:space="preserve">приложении</w:t>
        </w:r>
      </w:hyperlink>
      <w:r>
        <w:rPr>
          <w:sz w:val="20"/>
        </w:rPr>
        <w:t xml:space="preserve"> к настоящему положению.</w:t>
      </w:r>
    </w:p>
    <w:p>
      <w:pPr>
        <w:pStyle w:val="0"/>
        <w:spacing w:before="200" w:line-rule="auto"/>
        <w:ind w:firstLine="540"/>
        <w:jc w:val="both"/>
      </w:pPr>
      <w:r>
        <w:rPr>
          <w:sz w:val="20"/>
        </w:rPr>
        <w:t xml:space="preserve">39. Основаниями для отказа в утверждении устава действующего казачьего общества являются:</w:t>
      </w:r>
    </w:p>
    <w:p>
      <w:pPr>
        <w:pStyle w:val="0"/>
        <w:spacing w:before="200" w:line-rule="auto"/>
        <w:ind w:firstLine="540"/>
        <w:jc w:val="both"/>
      </w:pPr>
      <w:r>
        <w:rPr>
          <w:sz w:val="20"/>
        </w:rPr>
        <w:t xml:space="preserve">а) несоблюдение требований к порядку созыва и проведения заседания высшего органа управления казачьего общества, установленных Гражданским </w:t>
      </w:r>
      <w:hyperlink w:history="0" r:id="rId36"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Российской Федерации и иными федеральными законами в сфере деятельности некоммерческих организаций, а также уставом казачьего общества;</w:t>
      </w:r>
    </w:p>
    <w:p>
      <w:pPr>
        <w:pStyle w:val="0"/>
        <w:spacing w:before="200" w:line-rule="auto"/>
        <w:ind w:firstLine="540"/>
        <w:jc w:val="both"/>
      </w:pPr>
      <w:r>
        <w:rPr>
          <w:sz w:val="20"/>
        </w:rPr>
        <w:t xml:space="preserve">б) непредставление или представление неполного комплекта документов, предусмотренных </w:t>
      </w:r>
      <w:hyperlink w:history="0" w:anchor="P92" w:tooltip="31.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соответствующим должностным лицам, названным в пунктах 22 - 29 настоящего положения, представление об утверждении устава казачьего общества. К представлению прилагаются:">
        <w:r>
          <w:rPr>
            <w:sz w:val="20"/>
            <w:color w:val="0000ff"/>
          </w:rPr>
          <w:t xml:space="preserve">пунктом 31</w:t>
        </w:r>
      </w:hyperlink>
      <w:r>
        <w:rPr>
          <w:sz w:val="20"/>
        </w:rPr>
        <w:t xml:space="preserve"> настоящего положения, несоблюдение требований к их оформлению, порядку и сроку представления;</w:t>
      </w:r>
    </w:p>
    <w:p>
      <w:pPr>
        <w:pStyle w:val="0"/>
        <w:spacing w:before="200" w:line-rule="auto"/>
        <w:ind w:firstLine="540"/>
        <w:jc w:val="both"/>
      </w:pPr>
      <w:r>
        <w:rPr>
          <w:sz w:val="20"/>
        </w:rPr>
        <w:t xml:space="preserve">в) наличие в представленных документах недостоверных или неполных сведений.</w:t>
      </w:r>
    </w:p>
    <w:bookmarkStart w:id="117" w:name="P117"/>
    <w:bookmarkEnd w:id="117"/>
    <w:p>
      <w:pPr>
        <w:pStyle w:val="0"/>
        <w:spacing w:before="200" w:line-rule="auto"/>
        <w:ind w:firstLine="540"/>
        <w:jc w:val="both"/>
      </w:pPr>
      <w:r>
        <w:rPr>
          <w:sz w:val="20"/>
        </w:rPr>
        <w:t xml:space="preserve">40. Основаниями для отказа в утверждении устава создаваемого казачьего общества являются:</w:t>
      </w:r>
    </w:p>
    <w:p>
      <w:pPr>
        <w:pStyle w:val="0"/>
        <w:spacing w:before="200" w:line-rule="auto"/>
        <w:ind w:firstLine="540"/>
        <w:jc w:val="both"/>
      </w:pPr>
      <w:r>
        <w:rPr>
          <w:sz w:val="20"/>
        </w:rPr>
        <w:t xml:space="preserve">а) несоблюдение требований к порядку созыва и проведения заседания учредительного собрания (круга, сбора) казачьего общества, установленных Гражданским </w:t>
      </w:r>
      <w:hyperlink w:history="0" r:id="rId37"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Российской Федерации и иными федеральными законами в сфере деятельности некоммерческих организаций;</w:t>
      </w:r>
    </w:p>
    <w:p>
      <w:pPr>
        <w:pStyle w:val="0"/>
        <w:spacing w:before="200" w:line-rule="auto"/>
        <w:ind w:firstLine="540"/>
        <w:jc w:val="both"/>
      </w:pPr>
      <w:r>
        <w:rPr>
          <w:sz w:val="20"/>
        </w:rPr>
        <w:t xml:space="preserve">б) непредставление или представление неполного комплекта документов, предусмотренных </w:t>
      </w:r>
      <w:hyperlink w:history="0" w:anchor="P97" w:tooltip="32.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соответствующим должностным лицам, названным в пунктах 22 - 29 настоящего положения, представление об утверждении устава казачьего общества. К представлению прилагаются:">
        <w:r>
          <w:rPr>
            <w:sz w:val="20"/>
            <w:color w:val="0000ff"/>
          </w:rPr>
          <w:t xml:space="preserve">пунктом 32</w:t>
        </w:r>
      </w:hyperlink>
      <w:r>
        <w:rPr>
          <w:sz w:val="20"/>
        </w:rPr>
        <w:t xml:space="preserve"> настоящего положения, несоблюдение требований к их оформлению, порядку и сроку представления;</w:t>
      </w:r>
    </w:p>
    <w:p>
      <w:pPr>
        <w:pStyle w:val="0"/>
        <w:spacing w:before="200" w:line-rule="auto"/>
        <w:ind w:firstLine="540"/>
        <w:jc w:val="both"/>
      </w:pPr>
      <w:r>
        <w:rPr>
          <w:sz w:val="20"/>
        </w:rPr>
        <w:t xml:space="preserve">в) наличия в представленных документах недостоверных или неполных сведений.</w:t>
      </w:r>
    </w:p>
    <w:p>
      <w:pPr>
        <w:pStyle w:val="0"/>
        <w:spacing w:before="200" w:line-rule="auto"/>
        <w:ind w:firstLine="540"/>
        <w:jc w:val="both"/>
      </w:pPr>
      <w:r>
        <w:rPr>
          <w:sz w:val="20"/>
        </w:rPr>
        <w:t xml:space="preserve">41. Отказ в утверждении устава казачьего общества не является препятствием для повторного направления должностным лицам, указанным в </w:t>
      </w:r>
      <w:hyperlink w:history="0" w:anchor="P79" w:tooltip="22. Уставы хуторских, станичных, городских казачьих обществ, создаваемых (действующих) на территориях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утверждаются главами городских, сельских поселений, муниципальных, городских округов, внутригородских районов, внутригородских муниципальных образований городов федерального значения.">
        <w:r>
          <w:rPr>
            <w:sz w:val="20"/>
            <w:color w:val="0000ff"/>
          </w:rPr>
          <w:t xml:space="preserve">пунктах 22</w:t>
        </w:r>
      </w:hyperlink>
      <w:r>
        <w:rPr>
          <w:sz w:val="20"/>
        </w:rPr>
        <w:t xml:space="preserve"> - </w:t>
      </w:r>
      <w:hyperlink w:history="0" w:anchor="P90" w:tooltip="29. Уставы войсковых казачьих обществ, осуществляющих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утверждаются руководителем ФАДН России.">
        <w:r>
          <w:rPr>
            <w:sz w:val="20"/>
            <w:color w:val="0000ff"/>
          </w:rPr>
          <w:t xml:space="preserve">29</w:t>
        </w:r>
      </w:hyperlink>
      <w:r>
        <w:rPr>
          <w:sz w:val="20"/>
        </w:rPr>
        <w:t xml:space="preserve"> настоящего положения, представления об утверждении устава казачьего общества и документов, предусмотренных </w:t>
      </w:r>
      <w:hyperlink w:history="0" w:anchor="P92" w:tooltip="31.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соответствующим должностным лицам, названным в пунктах 22 - 29 настоящего положения, представление об утверждении устава казачьего общества. К представлению прилагаются:">
        <w:r>
          <w:rPr>
            <w:sz w:val="20"/>
            <w:color w:val="0000ff"/>
          </w:rPr>
          <w:t xml:space="preserve">пунктами 31</w:t>
        </w:r>
      </w:hyperlink>
      <w:r>
        <w:rPr>
          <w:sz w:val="20"/>
        </w:rPr>
        <w:t xml:space="preserve"> и </w:t>
      </w:r>
      <w:hyperlink w:history="0" w:anchor="P97" w:tooltip="32.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соответствующим должностным лицам, названным в пунктах 22 - 29 настоящего положения, представление об утверждении устава казачьего общества. К представлению прилагаются:">
        <w:r>
          <w:rPr>
            <w:sz w:val="20"/>
            <w:color w:val="0000ff"/>
          </w:rPr>
          <w:t xml:space="preserve">32</w:t>
        </w:r>
      </w:hyperlink>
      <w:r>
        <w:rPr>
          <w:sz w:val="20"/>
        </w:rPr>
        <w:t xml:space="preserve"> настоящего положения, при условии устранения оснований, послуживших причиной для принятия указанного решения.</w:t>
      </w:r>
    </w:p>
    <w:p>
      <w:pPr>
        <w:pStyle w:val="0"/>
        <w:spacing w:before="200" w:line-rule="auto"/>
        <w:ind w:firstLine="540"/>
        <w:jc w:val="both"/>
      </w:pPr>
      <w:r>
        <w:rPr>
          <w:sz w:val="20"/>
        </w:rPr>
        <w:t xml:space="preserve">Повторное представление об утверждении устава казачьего общества и документов, предусмотренных </w:t>
      </w:r>
      <w:hyperlink w:history="0" w:anchor="P92" w:tooltip="31.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соответствующим должностным лицам, названным в пунктах 22 - 29 настоящего положения, представление об утверждении устава казачьего общества. К представлению прилагаются:">
        <w:r>
          <w:rPr>
            <w:sz w:val="20"/>
            <w:color w:val="0000ff"/>
          </w:rPr>
          <w:t xml:space="preserve">пунктами 31</w:t>
        </w:r>
      </w:hyperlink>
      <w:r>
        <w:rPr>
          <w:sz w:val="20"/>
        </w:rPr>
        <w:t xml:space="preserve"> и </w:t>
      </w:r>
      <w:hyperlink w:history="0" w:anchor="P97" w:tooltip="32.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соответствующим должностным лицам, названным в пунктах 22 - 29 настоящего положения, представление об утверждении устава казачьего общества. К представлению прилагаются:">
        <w:r>
          <w:rPr>
            <w:sz w:val="20"/>
            <w:color w:val="0000ff"/>
          </w:rPr>
          <w:t xml:space="preserve">32</w:t>
        </w:r>
      </w:hyperlink>
      <w:r>
        <w:rPr>
          <w:sz w:val="20"/>
        </w:rPr>
        <w:t xml:space="preserve"> настоящего положения, и принятие по этому представлению решения осуществляются в порядке, предусмотренном </w:t>
      </w:r>
      <w:hyperlink w:history="0" w:anchor="P102" w:tooltip="33. Указанные в пунктах 31 и 32 настоящего положения копии документов должны быть заверены подписью атамана казачьего общества либо уполномоченного лица. Документы (их копии), за исключением документов в электронном виде, содержащие более одного листа, должны быть прошиты, пронумерованы и заверены подписью атамана казачьего общества либо уполномоченного лица на обороте последнего листа на месте прошивки.">
        <w:r>
          <w:rPr>
            <w:sz w:val="20"/>
            <w:color w:val="0000ff"/>
          </w:rPr>
          <w:t xml:space="preserve">пунктами 33</w:t>
        </w:r>
      </w:hyperlink>
      <w:r>
        <w:rPr>
          <w:sz w:val="20"/>
        </w:rPr>
        <w:t xml:space="preserve"> - </w:t>
      </w:r>
      <w:hyperlink w:history="0" w:anchor="P117" w:tooltip="40. Основаниями для отказа в утверждении устава создаваемого казачьего общества являются:">
        <w:r>
          <w:rPr>
            <w:sz w:val="20"/>
            <w:color w:val="0000ff"/>
          </w:rPr>
          <w:t xml:space="preserve">40</w:t>
        </w:r>
      </w:hyperlink>
      <w:r>
        <w:rPr>
          <w:sz w:val="20"/>
        </w:rPr>
        <w:t xml:space="preserve"> настоящего положения.</w:t>
      </w:r>
    </w:p>
    <w:p>
      <w:pPr>
        <w:pStyle w:val="0"/>
        <w:spacing w:before="200" w:line-rule="auto"/>
        <w:ind w:firstLine="540"/>
        <w:jc w:val="both"/>
      </w:pPr>
      <w:r>
        <w:rPr>
          <w:sz w:val="20"/>
        </w:rPr>
        <w:t xml:space="preserve">Предельное количество повторных направлений представления об утверждении устава казачьего общества и документов, предусмотренных </w:t>
      </w:r>
      <w:hyperlink w:history="0" w:anchor="P92" w:tooltip="31.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соответствующим должностным лицам, названным в пунктах 22 - 29 настоящего положения, представление об утверждении устава казачьего общества. К представлению прилагаются:">
        <w:r>
          <w:rPr>
            <w:sz w:val="20"/>
            <w:color w:val="0000ff"/>
          </w:rPr>
          <w:t xml:space="preserve">пунктами 31</w:t>
        </w:r>
      </w:hyperlink>
      <w:r>
        <w:rPr>
          <w:sz w:val="20"/>
        </w:rPr>
        <w:t xml:space="preserve"> и </w:t>
      </w:r>
      <w:hyperlink w:history="0" w:anchor="P97" w:tooltip="32.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соответствующим должностным лицам, названным в пунктах 22 - 29 настоящего положения, представление об утверждении устава казачьего общества. К представлению прилагаются:">
        <w:r>
          <w:rPr>
            <w:sz w:val="20"/>
            <w:color w:val="0000ff"/>
          </w:rPr>
          <w:t xml:space="preserve">32</w:t>
        </w:r>
      </w:hyperlink>
      <w:r>
        <w:rPr>
          <w:sz w:val="20"/>
        </w:rPr>
        <w:t xml:space="preserve"> настоящего положения, не ограничено.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Типовому положению</w:t>
      </w:r>
    </w:p>
    <w:p>
      <w:pPr>
        <w:pStyle w:val="0"/>
        <w:jc w:val="right"/>
      </w:pPr>
      <w:r>
        <w:rPr>
          <w:sz w:val="20"/>
        </w:rPr>
        <w:t xml:space="preserve">о согласовании и утверждении</w:t>
      </w:r>
    </w:p>
    <w:p>
      <w:pPr>
        <w:pStyle w:val="0"/>
        <w:jc w:val="right"/>
      </w:pPr>
      <w:r>
        <w:rPr>
          <w:sz w:val="20"/>
        </w:rPr>
        <w:t xml:space="preserve">уставов казачьих обществ</w:t>
      </w:r>
    </w:p>
    <w:p>
      <w:pPr>
        <w:pStyle w:val="0"/>
        <w:jc w:val="both"/>
      </w:pPr>
      <w:r>
        <w:rPr>
          <w:sz w:val="20"/>
        </w:rPr>
      </w:r>
    </w:p>
    <w:bookmarkStart w:id="134" w:name="P134"/>
    <w:bookmarkEnd w:id="134"/>
    <w:p>
      <w:pPr>
        <w:pStyle w:val="0"/>
        <w:jc w:val="center"/>
      </w:pPr>
      <w:r>
        <w:rPr>
          <w:sz w:val="20"/>
        </w:rPr>
        <w:t xml:space="preserve">РЕКОМЕНДУЕМЫЙ ОБРАЗЕЦ</w:t>
      </w:r>
    </w:p>
    <w:p>
      <w:pPr>
        <w:pStyle w:val="0"/>
        <w:jc w:val="center"/>
      </w:pPr>
      <w:r>
        <w:rPr>
          <w:sz w:val="20"/>
        </w:rPr>
        <w:t xml:space="preserve">ТИТУЛЬНОГО ЛИСТА УСТАВА КАЗАЧЬЕГО ОБЩЕСТВА</w:t>
      </w:r>
    </w:p>
    <w:p>
      <w:pPr>
        <w:pStyle w:val="0"/>
        <w:jc w:val="both"/>
      </w:pPr>
      <w:r>
        <w:rPr>
          <w:sz w:val="20"/>
        </w:rPr>
      </w:r>
    </w:p>
    <w:tbl>
      <w:tblPr>
        <w:tblInd w:w="0" w:type="dxa"/>
        <w:tblLayout w:type="fixed"/>
        <w:tblCellMar>
          <w:top w:w="102" w:type="dxa"/>
          <w:left w:w="62" w:type="dxa"/>
          <w:bottom w:w="102" w:type="dxa"/>
          <w:right w:w="62" w:type="dxa"/>
        </w:tblCellMar>
      </w:tblPr>
      <w:tblGrid>
        <w:gridCol w:w="4648"/>
        <w:gridCol w:w="396"/>
        <w:gridCol w:w="907"/>
        <w:gridCol w:w="963"/>
        <w:gridCol w:w="623"/>
        <w:gridCol w:w="453"/>
        <w:gridCol w:w="1077"/>
      </w:tblGrid>
      <w:tr>
        <w:tc>
          <w:tcPr>
            <w:tcW w:w="4648" w:type="dxa"/>
            <w:tcBorders>
              <w:top w:val="nil"/>
              <w:left w:val="nil"/>
              <w:bottom w:val="nil"/>
              <w:right w:val="nil"/>
            </w:tcBorders>
          </w:tcPr>
          <w:p>
            <w:pPr>
              <w:pStyle w:val="0"/>
            </w:pPr>
            <w:r>
              <w:rPr>
                <w:sz w:val="20"/>
              </w:rPr>
            </w:r>
          </w:p>
        </w:tc>
        <w:tc>
          <w:tcPr>
            <w:gridSpan w:val="6"/>
            <w:tcW w:w="4419" w:type="dxa"/>
            <w:tcBorders>
              <w:top w:val="nil"/>
              <w:left w:val="nil"/>
              <w:bottom w:val="nil"/>
              <w:right w:val="nil"/>
            </w:tcBorders>
          </w:tcPr>
          <w:p>
            <w:pPr>
              <w:pStyle w:val="0"/>
              <w:jc w:val="center"/>
            </w:pPr>
            <w:r>
              <w:rPr>
                <w:sz w:val="20"/>
              </w:rPr>
              <w:t xml:space="preserve">УТВЕРЖДЕНО</w:t>
            </w:r>
          </w:p>
          <w:p>
            <w:pPr>
              <w:pStyle w:val="0"/>
              <w:jc w:val="center"/>
            </w:pPr>
            <w:r>
              <w:rPr>
                <w:sz w:val="20"/>
              </w:rPr>
              <w:t xml:space="preserve">приказом ФАДН России</w:t>
            </w:r>
          </w:p>
        </w:tc>
      </w:tr>
      <w:tr>
        <w:tc>
          <w:tcPr>
            <w:tcW w:w="4648" w:type="dxa"/>
            <w:tcBorders>
              <w:top w:val="nil"/>
              <w:left w:val="nil"/>
              <w:bottom w:val="nil"/>
              <w:right w:val="nil"/>
            </w:tcBorders>
          </w:tcPr>
          <w:p>
            <w:pPr>
              <w:pStyle w:val="0"/>
            </w:pPr>
            <w:r>
              <w:rPr>
                <w:sz w:val="20"/>
              </w:rPr>
            </w:r>
          </w:p>
        </w:tc>
        <w:tc>
          <w:tcPr>
            <w:tcW w:w="396" w:type="dxa"/>
            <w:tcBorders>
              <w:top w:val="nil"/>
              <w:left w:val="nil"/>
              <w:bottom w:val="nil"/>
              <w:right w:val="nil"/>
            </w:tcBorders>
          </w:tcPr>
          <w:p>
            <w:pPr>
              <w:pStyle w:val="0"/>
              <w:jc w:val="both"/>
            </w:pPr>
            <w:r>
              <w:rPr>
                <w:sz w:val="20"/>
              </w:rPr>
              <w:t xml:space="preserve">от</w:t>
            </w:r>
          </w:p>
        </w:tc>
        <w:tc>
          <w:tcPr>
            <w:gridSpan w:val="2"/>
            <w:tcW w:w="1870" w:type="dxa"/>
            <w:tcBorders>
              <w:top w:val="nil"/>
              <w:left w:val="nil"/>
              <w:bottom w:val="single" w:sz="4"/>
              <w:right w:val="nil"/>
            </w:tcBorders>
          </w:tcPr>
          <w:p>
            <w:pPr>
              <w:pStyle w:val="0"/>
            </w:pPr>
            <w:r>
              <w:rPr>
                <w:sz w:val="20"/>
              </w:rPr>
            </w:r>
          </w:p>
        </w:tc>
        <w:tc>
          <w:tcPr>
            <w:tcW w:w="623" w:type="dxa"/>
            <w:tcBorders>
              <w:top w:val="nil"/>
              <w:left w:val="nil"/>
              <w:bottom w:val="nil"/>
              <w:right w:val="nil"/>
            </w:tcBorders>
          </w:tcPr>
          <w:p>
            <w:pPr>
              <w:pStyle w:val="0"/>
              <w:jc w:val="right"/>
            </w:pPr>
            <w:r>
              <w:rPr>
                <w:sz w:val="20"/>
              </w:rPr>
              <w:t xml:space="preserve">N</w:t>
            </w:r>
          </w:p>
        </w:tc>
        <w:tc>
          <w:tcPr>
            <w:gridSpan w:val="2"/>
            <w:tcW w:w="1530" w:type="dxa"/>
            <w:tcBorders>
              <w:top w:val="nil"/>
              <w:left w:val="nil"/>
              <w:bottom w:val="single" w:sz="4"/>
              <w:right w:val="nil"/>
            </w:tcBorders>
          </w:tcPr>
          <w:p>
            <w:pPr>
              <w:pStyle w:val="0"/>
            </w:pPr>
            <w:r>
              <w:rPr>
                <w:sz w:val="20"/>
              </w:rPr>
            </w:r>
          </w:p>
        </w:tc>
      </w:tr>
      <w:tr>
        <w:tc>
          <w:tcPr>
            <w:tcW w:w="4648" w:type="dxa"/>
            <w:tcBorders>
              <w:top w:val="nil"/>
              <w:left w:val="nil"/>
              <w:bottom w:val="nil"/>
              <w:right w:val="nil"/>
            </w:tcBorders>
          </w:tcPr>
          <w:p>
            <w:pPr>
              <w:pStyle w:val="0"/>
            </w:pPr>
            <w:r>
              <w:rPr>
                <w:sz w:val="20"/>
              </w:rPr>
            </w:r>
          </w:p>
        </w:tc>
        <w:tc>
          <w:tcPr>
            <w:gridSpan w:val="6"/>
            <w:tcW w:w="4419" w:type="dxa"/>
            <w:tcBorders>
              <w:top w:val="nil"/>
              <w:left w:val="nil"/>
              <w:bottom w:val="nil"/>
              <w:right w:val="nil"/>
            </w:tcBorders>
          </w:tcPr>
          <w:p>
            <w:pPr>
              <w:pStyle w:val="0"/>
            </w:pPr>
            <w:r>
              <w:rPr>
                <w:sz w:val="20"/>
              </w:rPr>
            </w:r>
          </w:p>
        </w:tc>
      </w:tr>
      <w:tr>
        <w:tc>
          <w:tcPr>
            <w:tcW w:w="4648" w:type="dxa"/>
            <w:vAlign w:val="center"/>
            <w:tcBorders>
              <w:top w:val="nil"/>
              <w:left w:val="nil"/>
              <w:bottom w:val="nil"/>
              <w:right w:val="nil"/>
            </w:tcBorders>
          </w:tcPr>
          <w:p>
            <w:pPr>
              <w:pStyle w:val="0"/>
            </w:pPr>
            <w:r>
              <w:rPr>
                <w:sz w:val="20"/>
              </w:rPr>
            </w:r>
          </w:p>
        </w:tc>
        <w:tc>
          <w:tcPr>
            <w:gridSpan w:val="6"/>
            <w:tcW w:w="4419" w:type="dxa"/>
            <w:tcBorders>
              <w:top w:val="nil"/>
              <w:left w:val="nil"/>
              <w:bottom w:val="nil"/>
              <w:right w:val="nil"/>
            </w:tcBorders>
          </w:tcPr>
          <w:p>
            <w:pPr>
              <w:pStyle w:val="0"/>
              <w:jc w:val="center"/>
            </w:pPr>
            <w:r>
              <w:rPr>
                <w:sz w:val="20"/>
              </w:rPr>
              <w:t xml:space="preserve">СОГЛАСОВАНО</w:t>
            </w:r>
          </w:p>
        </w:tc>
      </w:tr>
      <w:tr>
        <w:tc>
          <w:tcPr>
            <w:tcW w:w="4648" w:type="dxa"/>
            <w:tcBorders>
              <w:top w:val="nil"/>
              <w:left w:val="nil"/>
              <w:bottom w:val="nil"/>
              <w:right w:val="nil"/>
            </w:tcBorders>
          </w:tcPr>
          <w:p>
            <w:pPr>
              <w:pStyle w:val="0"/>
            </w:pPr>
            <w:r>
              <w:rPr>
                <w:sz w:val="20"/>
              </w:rPr>
            </w:r>
          </w:p>
        </w:tc>
        <w:tc>
          <w:tcPr>
            <w:gridSpan w:val="6"/>
            <w:tcW w:w="4419" w:type="dxa"/>
            <w:tcBorders>
              <w:top w:val="nil"/>
              <w:left w:val="nil"/>
              <w:bottom w:val="single" w:sz="4"/>
              <w:right w:val="nil"/>
            </w:tcBorders>
          </w:tcPr>
          <w:p>
            <w:pPr>
              <w:pStyle w:val="0"/>
            </w:pPr>
            <w:r>
              <w:rPr>
                <w:sz w:val="20"/>
              </w:rPr>
            </w:r>
          </w:p>
        </w:tc>
      </w:tr>
      <w:tr>
        <w:tc>
          <w:tcPr>
            <w:tcW w:w="4648" w:type="dxa"/>
            <w:tcBorders>
              <w:top w:val="nil"/>
              <w:left w:val="nil"/>
              <w:bottom w:val="nil"/>
              <w:right w:val="nil"/>
            </w:tcBorders>
          </w:tcPr>
          <w:p>
            <w:pPr>
              <w:pStyle w:val="0"/>
            </w:pPr>
            <w:r>
              <w:rPr>
                <w:sz w:val="20"/>
              </w:rPr>
            </w:r>
          </w:p>
        </w:tc>
        <w:tc>
          <w:tcPr>
            <w:gridSpan w:val="6"/>
            <w:tcW w:w="4419" w:type="dxa"/>
            <w:tcBorders>
              <w:top w:val="single" w:sz="4"/>
              <w:left w:val="nil"/>
              <w:bottom w:val="nil"/>
              <w:right w:val="nil"/>
            </w:tcBorders>
          </w:tcPr>
          <w:p>
            <w:pPr>
              <w:pStyle w:val="0"/>
              <w:jc w:val="center"/>
            </w:pPr>
            <w:r>
              <w:rPr>
                <w:sz w:val="20"/>
              </w:rPr>
              <w:t xml:space="preserve">(наименование должности)</w:t>
            </w:r>
          </w:p>
        </w:tc>
      </w:tr>
      <w:tr>
        <w:tc>
          <w:tcPr>
            <w:tcW w:w="4648" w:type="dxa"/>
            <w:tcBorders>
              <w:top w:val="nil"/>
              <w:left w:val="nil"/>
              <w:bottom w:val="nil"/>
              <w:right w:val="nil"/>
            </w:tcBorders>
          </w:tcPr>
          <w:p>
            <w:pPr>
              <w:pStyle w:val="0"/>
            </w:pPr>
            <w:r>
              <w:rPr>
                <w:sz w:val="20"/>
              </w:rPr>
            </w:r>
          </w:p>
        </w:tc>
        <w:tc>
          <w:tcPr>
            <w:gridSpan w:val="6"/>
            <w:tcW w:w="4419" w:type="dxa"/>
            <w:tcBorders>
              <w:top w:val="nil"/>
              <w:left w:val="nil"/>
              <w:bottom w:val="single" w:sz="4"/>
              <w:right w:val="nil"/>
            </w:tcBorders>
          </w:tcPr>
          <w:p>
            <w:pPr>
              <w:pStyle w:val="0"/>
            </w:pPr>
            <w:r>
              <w:rPr>
                <w:sz w:val="20"/>
              </w:rPr>
            </w:r>
          </w:p>
        </w:tc>
      </w:tr>
      <w:tr>
        <w:tc>
          <w:tcPr>
            <w:tcW w:w="4648" w:type="dxa"/>
            <w:tcBorders>
              <w:top w:val="nil"/>
              <w:left w:val="nil"/>
              <w:bottom w:val="nil"/>
              <w:right w:val="nil"/>
            </w:tcBorders>
          </w:tcPr>
          <w:p>
            <w:pPr>
              <w:pStyle w:val="0"/>
            </w:pPr>
            <w:r>
              <w:rPr>
                <w:sz w:val="20"/>
              </w:rPr>
            </w:r>
          </w:p>
        </w:tc>
        <w:tc>
          <w:tcPr>
            <w:gridSpan w:val="6"/>
            <w:tcW w:w="4419" w:type="dxa"/>
            <w:tcBorders>
              <w:top w:val="single" w:sz="4"/>
              <w:left w:val="nil"/>
              <w:bottom w:val="nil"/>
              <w:right w:val="nil"/>
            </w:tcBorders>
          </w:tcPr>
          <w:p>
            <w:pPr>
              <w:pStyle w:val="0"/>
              <w:jc w:val="center"/>
            </w:pPr>
            <w:r>
              <w:rPr>
                <w:sz w:val="20"/>
              </w:rPr>
              <w:t xml:space="preserve">(ФИО)</w:t>
            </w:r>
          </w:p>
        </w:tc>
      </w:tr>
      <w:tr>
        <w:tc>
          <w:tcPr>
            <w:tcW w:w="4648" w:type="dxa"/>
            <w:tcBorders>
              <w:top w:val="nil"/>
              <w:left w:val="nil"/>
              <w:bottom w:val="nil"/>
              <w:right w:val="nil"/>
            </w:tcBorders>
          </w:tcPr>
          <w:p>
            <w:pPr>
              <w:pStyle w:val="0"/>
            </w:pPr>
            <w:r>
              <w:rPr>
                <w:sz w:val="20"/>
              </w:rPr>
            </w:r>
          </w:p>
        </w:tc>
        <w:tc>
          <w:tcPr>
            <w:gridSpan w:val="2"/>
            <w:tcW w:w="1303" w:type="dxa"/>
            <w:tcBorders>
              <w:top w:val="nil"/>
              <w:left w:val="nil"/>
              <w:bottom w:val="nil"/>
              <w:right w:val="nil"/>
            </w:tcBorders>
          </w:tcPr>
          <w:p>
            <w:pPr>
              <w:pStyle w:val="0"/>
            </w:pPr>
            <w:r>
              <w:rPr>
                <w:sz w:val="20"/>
              </w:rPr>
              <w:t xml:space="preserve">письмо от</w:t>
            </w:r>
          </w:p>
        </w:tc>
        <w:tc>
          <w:tcPr>
            <w:gridSpan w:val="2"/>
            <w:tcW w:w="1586" w:type="dxa"/>
            <w:tcBorders>
              <w:top w:val="nil"/>
              <w:left w:val="nil"/>
              <w:bottom w:val="single" w:sz="4"/>
              <w:right w:val="nil"/>
            </w:tcBorders>
          </w:tcPr>
          <w:p>
            <w:pPr>
              <w:pStyle w:val="0"/>
            </w:pPr>
            <w:r>
              <w:rPr>
                <w:sz w:val="20"/>
              </w:rPr>
            </w:r>
          </w:p>
        </w:tc>
        <w:tc>
          <w:tcPr>
            <w:tcW w:w="453" w:type="dxa"/>
            <w:tcBorders>
              <w:top w:val="nil"/>
              <w:left w:val="nil"/>
              <w:bottom w:val="nil"/>
              <w:right w:val="nil"/>
            </w:tcBorders>
          </w:tcPr>
          <w:p>
            <w:pPr>
              <w:pStyle w:val="0"/>
              <w:jc w:val="center"/>
            </w:pPr>
            <w:r>
              <w:rPr>
                <w:sz w:val="20"/>
              </w:rPr>
              <w:t xml:space="preserve">N</w:t>
            </w:r>
          </w:p>
        </w:tc>
        <w:tc>
          <w:tcPr>
            <w:tcW w:w="1077" w:type="dxa"/>
            <w:tcBorders>
              <w:top w:val="nil"/>
              <w:left w:val="nil"/>
              <w:bottom w:val="single" w:sz="4"/>
              <w:right w:val="nil"/>
            </w:tcBorders>
          </w:tcPr>
          <w:p>
            <w:pPr>
              <w:pStyle w:val="0"/>
            </w:pPr>
            <w:r>
              <w:rPr>
                <w:sz w:val="20"/>
              </w:rPr>
            </w:r>
          </w:p>
        </w:tc>
      </w:tr>
      <w:tr>
        <w:tc>
          <w:tcPr>
            <w:tcW w:w="4648" w:type="dxa"/>
            <w:tcBorders>
              <w:top w:val="nil"/>
              <w:left w:val="nil"/>
              <w:bottom w:val="nil"/>
              <w:right w:val="nil"/>
            </w:tcBorders>
          </w:tcPr>
          <w:p>
            <w:pPr>
              <w:pStyle w:val="0"/>
            </w:pPr>
            <w:r>
              <w:rPr>
                <w:sz w:val="20"/>
              </w:rPr>
            </w:r>
          </w:p>
        </w:tc>
        <w:tc>
          <w:tcPr>
            <w:gridSpan w:val="6"/>
            <w:tcW w:w="4419" w:type="dxa"/>
            <w:tcBorders>
              <w:top w:val="nil"/>
              <w:left w:val="nil"/>
              <w:bottom w:val="nil"/>
              <w:right w:val="nil"/>
            </w:tcBorders>
          </w:tcPr>
          <w:p>
            <w:pPr>
              <w:pStyle w:val="0"/>
            </w:pPr>
            <w:r>
              <w:rPr>
                <w:sz w:val="20"/>
              </w:rPr>
            </w:r>
          </w:p>
        </w:tc>
      </w:tr>
      <w:tr>
        <w:tc>
          <w:tcPr>
            <w:tcW w:w="4648" w:type="dxa"/>
            <w:vAlign w:val="center"/>
            <w:tcBorders>
              <w:top w:val="nil"/>
              <w:left w:val="nil"/>
              <w:bottom w:val="nil"/>
              <w:right w:val="nil"/>
            </w:tcBorders>
          </w:tcPr>
          <w:p>
            <w:pPr>
              <w:pStyle w:val="0"/>
            </w:pPr>
            <w:r>
              <w:rPr>
                <w:sz w:val="20"/>
              </w:rPr>
            </w:r>
          </w:p>
        </w:tc>
        <w:tc>
          <w:tcPr>
            <w:gridSpan w:val="6"/>
            <w:tcW w:w="4419" w:type="dxa"/>
            <w:vAlign w:val="center"/>
            <w:tcBorders>
              <w:top w:val="nil"/>
              <w:left w:val="nil"/>
              <w:bottom w:val="nil"/>
              <w:right w:val="nil"/>
            </w:tcBorders>
          </w:tcPr>
          <w:p>
            <w:pPr>
              <w:pStyle w:val="0"/>
              <w:jc w:val="center"/>
            </w:pPr>
            <w:r>
              <w:rPr>
                <w:sz w:val="20"/>
              </w:rPr>
              <w:t xml:space="preserve">СОГЛАСОВАНО</w:t>
            </w:r>
          </w:p>
        </w:tc>
      </w:tr>
      <w:tr>
        <w:tc>
          <w:tcPr>
            <w:tcW w:w="4648" w:type="dxa"/>
            <w:tcBorders>
              <w:top w:val="nil"/>
              <w:left w:val="nil"/>
              <w:bottom w:val="nil"/>
              <w:right w:val="nil"/>
            </w:tcBorders>
          </w:tcPr>
          <w:p>
            <w:pPr>
              <w:pStyle w:val="0"/>
            </w:pPr>
            <w:r>
              <w:rPr>
                <w:sz w:val="20"/>
              </w:rPr>
            </w:r>
          </w:p>
        </w:tc>
        <w:tc>
          <w:tcPr>
            <w:gridSpan w:val="6"/>
            <w:tcW w:w="4419" w:type="dxa"/>
            <w:tcBorders>
              <w:top w:val="nil"/>
              <w:left w:val="nil"/>
              <w:bottom w:val="single" w:sz="4"/>
              <w:right w:val="nil"/>
            </w:tcBorders>
          </w:tcPr>
          <w:p>
            <w:pPr>
              <w:pStyle w:val="0"/>
            </w:pPr>
            <w:r>
              <w:rPr>
                <w:sz w:val="20"/>
              </w:rPr>
            </w:r>
          </w:p>
        </w:tc>
      </w:tr>
      <w:tr>
        <w:tc>
          <w:tcPr>
            <w:tcW w:w="4648" w:type="dxa"/>
            <w:tcBorders>
              <w:top w:val="nil"/>
              <w:left w:val="nil"/>
              <w:bottom w:val="nil"/>
              <w:right w:val="nil"/>
            </w:tcBorders>
          </w:tcPr>
          <w:p>
            <w:pPr>
              <w:pStyle w:val="0"/>
            </w:pPr>
            <w:r>
              <w:rPr>
                <w:sz w:val="20"/>
              </w:rPr>
            </w:r>
          </w:p>
        </w:tc>
        <w:tc>
          <w:tcPr>
            <w:gridSpan w:val="6"/>
            <w:tcW w:w="4419" w:type="dxa"/>
            <w:tcBorders>
              <w:top w:val="single" w:sz="4"/>
              <w:left w:val="nil"/>
              <w:bottom w:val="nil"/>
              <w:right w:val="nil"/>
            </w:tcBorders>
          </w:tcPr>
          <w:p>
            <w:pPr>
              <w:pStyle w:val="0"/>
              <w:jc w:val="center"/>
            </w:pPr>
            <w:r>
              <w:rPr>
                <w:sz w:val="20"/>
              </w:rPr>
              <w:t xml:space="preserve">(наименование должности)</w:t>
            </w:r>
          </w:p>
        </w:tc>
      </w:tr>
      <w:tr>
        <w:tc>
          <w:tcPr>
            <w:tcW w:w="4648" w:type="dxa"/>
            <w:tcBorders>
              <w:top w:val="nil"/>
              <w:left w:val="nil"/>
              <w:bottom w:val="nil"/>
              <w:right w:val="nil"/>
            </w:tcBorders>
          </w:tcPr>
          <w:p>
            <w:pPr>
              <w:pStyle w:val="0"/>
            </w:pPr>
            <w:r>
              <w:rPr>
                <w:sz w:val="20"/>
              </w:rPr>
            </w:r>
          </w:p>
        </w:tc>
        <w:tc>
          <w:tcPr>
            <w:gridSpan w:val="6"/>
            <w:tcW w:w="4419" w:type="dxa"/>
            <w:tcBorders>
              <w:top w:val="nil"/>
              <w:left w:val="nil"/>
              <w:bottom w:val="single" w:sz="4"/>
              <w:right w:val="nil"/>
            </w:tcBorders>
          </w:tcPr>
          <w:p>
            <w:pPr>
              <w:pStyle w:val="0"/>
            </w:pPr>
            <w:r>
              <w:rPr>
                <w:sz w:val="20"/>
              </w:rPr>
            </w:r>
          </w:p>
        </w:tc>
      </w:tr>
      <w:tr>
        <w:tc>
          <w:tcPr>
            <w:tcW w:w="4648" w:type="dxa"/>
            <w:tcBorders>
              <w:top w:val="nil"/>
              <w:left w:val="nil"/>
              <w:bottom w:val="nil"/>
              <w:right w:val="nil"/>
            </w:tcBorders>
          </w:tcPr>
          <w:p>
            <w:pPr>
              <w:pStyle w:val="0"/>
            </w:pPr>
            <w:r>
              <w:rPr>
                <w:sz w:val="20"/>
              </w:rPr>
            </w:r>
          </w:p>
        </w:tc>
        <w:tc>
          <w:tcPr>
            <w:gridSpan w:val="6"/>
            <w:tcW w:w="4419" w:type="dxa"/>
            <w:tcBorders>
              <w:top w:val="single" w:sz="4"/>
              <w:left w:val="nil"/>
              <w:bottom w:val="nil"/>
              <w:right w:val="nil"/>
            </w:tcBorders>
          </w:tcPr>
          <w:p>
            <w:pPr>
              <w:pStyle w:val="0"/>
              <w:jc w:val="center"/>
            </w:pPr>
            <w:r>
              <w:rPr>
                <w:sz w:val="20"/>
              </w:rPr>
              <w:t xml:space="preserve">(ФИО)</w:t>
            </w:r>
          </w:p>
        </w:tc>
      </w:tr>
      <w:tr>
        <w:tc>
          <w:tcPr>
            <w:tcW w:w="4648" w:type="dxa"/>
            <w:tcBorders>
              <w:top w:val="nil"/>
              <w:left w:val="nil"/>
              <w:bottom w:val="nil"/>
              <w:right w:val="nil"/>
            </w:tcBorders>
          </w:tcPr>
          <w:p>
            <w:pPr>
              <w:pStyle w:val="0"/>
            </w:pPr>
            <w:r>
              <w:rPr>
                <w:sz w:val="20"/>
              </w:rPr>
            </w:r>
          </w:p>
        </w:tc>
        <w:tc>
          <w:tcPr>
            <w:gridSpan w:val="2"/>
            <w:tcW w:w="1303" w:type="dxa"/>
            <w:tcBorders>
              <w:top w:val="nil"/>
              <w:left w:val="nil"/>
              <w:bottom w:val="nil"/>
              <w:right w:val="nil"/>
            </w:tcBorders>
          </w:tcPr>
          <w:p>
            <w:pPr>
              <w:pStyle w:val="0"/>
            </w:pPr>
            <w:r>
              <w:rPr>
                <w:sz w:val="20"/>
              </w:rPr>
              <w:t xml:space="preserve">письмо от</w:t>
            </w:r>
          </w:p>
        </w:tc>
        <w:tc>
          <w:tcPr>
            <w:gridSpan w:val="2"/>
            <w:tcW w:w="1586" w:type="dxa"/>
            <w:tcBorders>
              <w:top w:val="nil"/>
              <w:left w:val="nil"/>
              <w:bottom w:val="single" w:sz="4"/>
              <w:right w:val="nil"/>
            </w:tcBorders>
          </w:tcPr>
          <w:p>
            <w:pPr>
              <w:pStyle w:val="0"/>
            </w:pPr>
            <w:r>
              <w:rPr>
                <w:sz w:val="20"/>
              </w:rPr>
            </w:r>
          </w:p>
        </w:tc>
        <w:tc>
          <w:tcPr>
            <w:tcW w:w="453" w:type="dxa"/>
            <w:tcBorders>
              <w:top w:val="nil"/>
              <w:left w:val="nil"/>
              <w:bottom w:val="nil"/>
              <w:right w:val="nil"/>
            </w:tcBorders>
          </w:tcPr>
          <w:p>
            <w:pPr>
              <w:pStyle w:val="0"/>
              <w:jc w:val="center"/>
            </w:pPr>
            <w:r>
              <w:rPr>
                <w:sz w:val="20"/>
              </w:rPr>
              <w:t xml:space="preserve">N</w:t>
            </w:r>
          </w:p>
        </w:tc>
        <w:tc>
          <w:tcPr>
            <w:tcW w:w="1077" w:type="dxa"/>
            <w:tcBorders>
              <w:top w:val="nil"/>
              <w:left w:val="nil"/>
              <w:bottom w:val="single" w:sz="4"/>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jc w:val="center"/>
            </w:pPr>
            <w:r>
              <w:rPr>
                <w:sz w:val="20"/>
              </w:rPr>
              <w:t xml:space="preserve">УСТАВ</w:t>
            </w:r>
          </w:p>
        </w:tc>
      </w:tr>
      <w:tr>
        <w:tc>
          <w:tcPr>
            <w:tcW w:w="9070" w:type="dxa"/>
            <w:tcBorders>
              <w:top w:val="nil"/>
              <w:left w:val="nil"/>
              <w:bottom w:val="single" w:sz="4"/>
              <w:right w:val="nil"/>
            </w:tcBorders>
          </w:tcPr>
          <w:p>
            <w:pPr>
              <w:pStyle w:val="0"/>
            </w:pPr>
            <w:r>
              <w:rPr>
                <w:sz w:val="20"/>
              </w:rPr>
            </w:r>
          </w:p>
        </w:tc>
      </w:tr>
      <w:tr>
        <w:tc>
          <w:tcPr>
            <w:tcW w:w="9070" w:type="dxa"/>
            <w:tcBorders>
              <w:top w:val="single" w:sz="4"/>
              <w:left w:val="nil"/>
              <w:bottom w:val="nil"/>
              <w:right w:val="nil"/>
            </w:tcBorders>
          </w:tcPr>
          <w:p>
            <w:pPr>
              <w:pStyle w:val="0"/>
              <w:jc w:val="center"/>
            </w:pPr>
            <w:r>
              <w:rPr>
                <w:sz w:val="20"/>
              </w:rPr>
              <w:t xml:space="preserve">(полное наименование казачьего общества)</w:t>
            </w:r>
          </w:p>
        </w:tc>
      </w:tr>
      <w:tr>
        <w:tc>
          <w:tcPr>
            <w:tcW w:w="9070" w:type="dxa"/>
            <w:tcBorders>
              <w:top w:val="nil"/>
              <w:left w:val="nil"/>
              <w:bottom w:val="nil"/>
              <w:right w:val="nil"/>
            </w:tcBorders>
          </w:tcPr>
          <w:p>
            <w:pPr>
              <w:pStyle w:val="0"/>
            </w:pPr>
            <w:r>
              <w:rPr>
                <w:sz w:val="20"/>
              </w:rPr>
            </w:r>
          </w:p>
        </w:tc>
      </w:tr>
      <w:tr>
        <w:tc>
          <w:tcPr>
            <w:tcW w:w="9070" w:type="dxa"/>
            <w:tcBorders>
              <w:top w:val="nil"/>
              <w:left w:val="nil"/>
              <w:bottom w:val="nil"/>
              <w:right w:val="nil"/>
            </w:tcBorders>
          </w:tcPr>
          <w:p>
            <w:pPr>
              <w:pStyle w:val="0"/>
            </w:pPr>
            <w:r>
              <w:rPr>
                <w:sz w:val="20"/>
              </w:rPr>
            </w:r>
          </w:p>
        </w:tc>
      </w:tr>
      <w:tr>
        <w:tc>
          <w:tcPr>
            <w:tcW w:w="9070" w:type="dxa"/>
            <w:tcBorders>
              <w:top w:val="nil"/>
              <w:left w:val="nil"/>
              <w:bottom w:val="nil"/>
              <w:right w:val="nil"/>
            </w:tcBorders>
          </w:tcPr>
          <w:p>
            <w:pPr>
              <w:pStyle w:val="0"/>
              <w:jc w:val="center"/>
            </w:pPr>
            <w:r>
              <w:rPr>
                <w:sz w:val="20"/>
              </w:rPr>
              <w:t xml:space="preserve">20__ год</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ФАДН России от 06.04.2020 N 45</w:t>
            <w:br/>
            <w:t>(ред. от 07.05.2024)</w:t>
            <w:br/>
            <w:t>"Об утверждении Типового положения о согласовании и утвержден...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78439&amp;dst=100006" TargetMode = "External"/>
	<Relationship Id="rId8" Type="http://schemas.openxmlformats.org/officeDocument/2006/relationships/hyperlink" Target="https://login.consultant.ru/link/?req=doc&amp;base=LAW&amp;n=470034&amp;dst=100057" TargetMode = "External"/>
	<Relationship Id="rId9" Type="http://schemas.openxmlformats.org/officeDocument/2006/relationships/hyperlink" Target="https://login.consultant.ru/link/?req=doc&amp;base=LAW&amp;n=470034&amp;dst=100060" TargetMode = "External"/>
	<Relationship Id="rId10" Type="http://schemas.openxmlformats.org/officeDocument/2006/relationships/hyperlink" Target="https://login.consultant.ru/link/?req=doc&amp;base=LAW&amp;n=478439&amp;dst=100006" TargetMode = "External"/>
	<Relationship Id="rId11" Type="http://schemas.openxmlformats.org/officeDocument/2006/relationships/hyperlink" Target="https://login.consultant.ru/link/?req=doc&amp;base=LAW&amp;n=470034&amp;dst=100049" TargetMode = "External"/>
	<Relationship Id="rId12" Type="http://schemas.openxmlformats.org/officeDocument/2006/relationships/hyperlink" Target="https://login.consultant.ru/link/?req=doc&amp;base=LAW&amp;n=470034&amp;dst=100056" TargetMode = "External"/>
	<Relationship Id="rId13" Type="http://schemas.openxmlformats.org/officeDocument/2006/relationships/hyperlink" Target="https://login.consultant.ru/link/?req=doc&amp;base=LAW&amp;n=478439&amp;dst=100010" TargetMode = "External"/>
	<Relationship Id="rId14" Type="http://schemas.openxmlformats.org/officeDocument/2006/relationships/hyperlink" Target="https://login.consultant.ru/link/?req=doc&amp;base=LAW&amp;n=478439&amp;dst=100011" TargetMode = "External"/>
	<Relationship Id="rId15" Type="http://schemas.openxmlformats.org/officeDocument/2006/relationships/hyperlink" Target="https://login.consultant.ru/link/?req=doc&amp;base=LAW&amp;n=478439&amp;dst=100012" TargetMode = "External"/>
	<Relationship Id="rId16" Type="http://schemas.openxmlformats.org/officeDocument/2006/relationships/hyperlink" Target="https://login.consultant.ru/link/?req=doc&amp;base=LAW&amp;n=478439&amp;dst=100013" TargetMode = "External"/>
	<Relationship Id="rId17" Type="http://schemas.openxmlformats.org/officeDocument/2006/relationships/hyperlink" Target="https://login.consultant.ru/link/?req=doc&amp;base=LAW&amp;n=478439&amp;dst=100015" TargetMode = "External"/>
	<Relationship Id="rId18" Type="http://schemas.openxmlformats.org/officeDocument/2006/relationships/hyperlink" Target="https://login.consultant.ru/link/?req=doc&amp;base=LAW&amp;n=478439&amp;dst=100016" TargetMode = "External"/>
	<Relationship Id="rId19" Type="http://schemas.openxmlformats.org/officeDocument/2006/relationships/hyperlink" Target="https://login.consultant.ru/link/?req=doc&amp;base=LAW&amp;n=478439&amp;dst=100017" TargetMode = "External"/>
	<Relationship Id="rId20" Type="http://schemas.openxmlformats.org/officeDocument/2006/relationships/hyperlink" Target="https://login.consultant.ru/link/?req=doc&amp;base=LAW&amp;n=478439&amp;dst=100019" TargetMode = "External"/>
	<Relationship Id="rId21" Type="http://schemas.openxmlformats.org/officeDocument/2006/relationships/hyperlink" Target="https://login.consultant.ru/link/?req=doc&amp;base=LAW&amp;n=482692&amp;dst=100264" TargetMode = "External"/>
	<Relationship Id="rId22" Type="http://schemas.openxmlformats.org/officeDocument/2006/relationships/hyperlink" Target="https://login.consultant.ru/link/?req=doc&amp;base=LAW&amp;n=482692&amp;dst=411" TargetMode = "External"/>
	<Relationship Id="rId23" Type="http://schemas.openxmlformats.org/officeDocument/2006/relationships/hyperlink" Target="https://login.consultant.ru/link/?req=doc&amp;base=LAW&amp;n=482692&amp;dst=100264" TargetMode = "External"/>
	<Relationship Id="rId24" Type="http://schemas.openxmlformats.org/officeDocument/2006/relationships/hyperlink" Target="https://login.consultant.ru/link/?req=doc&amp;base=LAW&amp;n=482692&amp;dst=411" TargetMode = "External"/>
	<Relationship Id="rId25" Type="http://schemas.openxmlformats.org/officeDocument/2006/relationships/hyperlink" Target="https://login.consultant.ru/link/?req=doc&amp;base=LAW&amp;n=482692&amp;dst=100264" TargetMode = "External"/>
	<Relationship Id="rId26" Type="http://schemas.openxmlformats.org/officeDocument/2006/relationships/hyperlink" Target="https://login.consultant.ru/link/?req=doc&amp;base=LAW&amp;n=482692&amp;dst=411" TargetMode = "External"/>
	<Relationship Id="rId27" Type="http://schemas.openxmlformats.org/officeDocument/2006/relationships/hyperlink" Target="https://login.consultant.ru/link/?req=doc&amp;base=LAW&amp;n=482692&amp;dst=100264" TargetMode = "External"/>
	<Relationship Id="rId28" Type="http://schemas.openxmlformats.org/officeDocument/2006/relationships/hyperlink" Target="https://login.consultant.ru/link/?req=doc&amp;base=LAW&amp;n=482692&amp;dst=411" TargetMode = "External"/>
	<Relationship Id="rId29" Type="http://schemas.openxmlformats.org/officeDocument/2006/relationships/hyperlink" Target="https://login.consultant.ru/link/?req=doc&amp;base=LAW&amp;n=478439&amp;dst=100020" TargetMode = "External"/>
	<Relationship Id="rId30" Type="http://schemas.openxmlformats.org/officeDocument/2006/relationships/hyperlink" Target="https://login.consultant.ru/link/?req=doc&amp;base=LAW&amp;n=478439&amp;dst=100021" TargetMode = "External"/>
	<Relationship Id="rId31" Type="http://schemas.openxmlformats.org/officeDocument/2006/relationships/hyperlink" Target="https://login.consultant.ru/link/?req=doc&amp;base=LAW&amp;n=478439&amp;dst=100023" TargetMode = "External"/>
	<Relationship Id="rId32" Type="http://schemas.openxmlformats.org/officeDocument/2006/relationships/hyperlink" Target="https://login.consultant.ru/link/?req=doc&amp;base=LAW&amp;n=478439&amp;dst=100024" TargetMode = "External"/>
	<Relationship Id="rId33" Type="http://schemas.openxmlformats.org/officeDocument/2006/relationships/hyperlink" Target="https://login.consultant.ru/link/?req=doc&amp;base=LAW&amp;n=482692&amp;dst=100264" TargetMode = "External"/>
	<Relationship Id="rId34" Type="http://schemas.openxmlformats.org/officeDocument/2006/relationships/hyperlink" Target="https://login.consultant.ru/link/?req=doc&amp;base=LAW&amp;n=482692&amp;dst=411" TargetMode = "External"/>
	<Relationship Id="rId35" Type="http://schemas.openxmlformats.org/officeDocument/2006/relationships/hyperlink" Target="https://login.consultant.ru/link/?req=doc&amp;base=LAW&amp;n=482692" TargetMode = "External"/>
	<Relationship Id="rId36" Type="http://schemas.openxmlformats.org/officeDocument/2006/relationships/hyperlink" Target="https://login.consultant.ru/link/?req=doc&amp;base=LAW&amp;n=482692" TargetMode = "External"/>
	<Relationship Id="rId37" Type="http://schemas.openxmlformats.org/officeDocument/2006/relationships/hyperlink" Target="https://login.consultant.ru/link/?req=doc&amp;base=LAW&amp;n=48269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ФАДН России от 06.04.2020 N 45
(ред. от 07.05.2024)
"Об утверждении Типового положения о согласовании и утверждении уставов казачьих обществ"
(Зарегистрировано в Минюсте России 22.07.2020 N 59047)</dc:title>
  <dcterms:created xsi:type="dcterms:W3CDTF">2025-01-05T08:43:58Z</dcterms:created>
</cp:coreProperties>
</file>