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Росстата от 28.12.2023 N 702</w:t>
              <w:br/>
              <w:t xml:space="preserve">"Об утверждении Официальной статистической методологии расчета выпуска продукции и индекса физического объема по виду экономической деятельности "Строительство"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ГОСУДАРСТВЕННОЙ СТАТИСТИКИ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декабря 2023 г. N 702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ОФИЦИАЛЬНОЙ СТАТИСТИЧЕСКОЙ МЕТОДОЛОГИИ</w:t>
      </w:r>
    </w:p>
    <w:p>
      <w:pPr>
        <w:pStyle w:val="2"/>
        <w:jc w:val="center"/>
      </w:pPr>
      <w:r>
        <w:rPr>
          <w:sz w:val="20"/>
        </w:rPr>
        <w:t xml:space="preserve">РАСЧЕТА ВЫПУСКА ПРОДУКЦИИ И ИНДЕКСА ФИЗИЧЕСКОГО ОБЪЕМА</w:t>
      </w:r>
    </w:p>
    <w:p>
      <w:pPr>
        <w:pStyle w:val="2"/>
        <w:jc w:val="center"/>
      </w:pPr>
      <w:r>
        <w:rPr>
          <w:sz w:val="20"/>
        </w:rPr>
        <w:t xml:space="preserve">ПО ВИДУ ЭКОНОМИЧЕСКОЙ ДЕЯТЕЛЬНОСТИ "СТРОИТЕЛЬСТВО"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2.06.2008 N 420 (ред. от 11.04.2024) &quot;О Федеральной службе государственной статистики&quot; {КонсультантПлюс}">
        <w:r>
          <w:rPr>
            <w:sz w:val="20"/>
            <w:color w:val="0000ff"/>
          </w:rPr>
          <w:t xml:space="preserve">подпунктом 5.2</w:t>
        </w:r>
      </w:hyperlink>
      <w:r>
        <w:rPr>
          <w:sz w:val="20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Официальную статистическую </w:t>
      </w:r>
      <w:hyperlink w:history="0" w:anchor="P28" w:tooltip="ОФИЦИАЛЬНАЯ СТАТИСТИЧЕСКАЯ МЕТОДОЛОГИЯ">
        <w:r>
          <w:rPr>
            <w:sz w:val="20"/>
            <w:color w:val="0000ff"/>
          </w:rPr>
          <w:t xml:space="preserve">методологию</w:t>
        </w:r>
      </w:hyperlink>
      <w:r>
        <w:rPr>
          <w:sz w:val="20"/>
        </w:rPr>
        <w:t xml:space="preserve"> расчета выпуска продукции и индекса физического объема по виду экономической деятельности "Строительство".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национальных счетов (Зарубина Е.В.) использовать указанную методологию при формировании валового внутреннего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</w:t>
      </w:r>
    </w:p>
    <w:p>
      <w:pPr>
        <w:pStyle w:val="0"/>
        <w:jc w:val="right"/>
      </w:pPr>
      <w:r>
        <w:rPr>
          <w:sz w:val="20"/>
        </w:rPr>
        <w:t xml:space="preserve">Д.Д.КЕНЧАДЗЕ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Росстата</w:t>
      </w:r>
    </w:p>
    <w:p>
      <w:pPr>
        <w:pStyle w:val="0"/>
        <w:jc w:val="right"/>
      </w:pPr>
      <w:r>
        <w:rPr>
          <w:sz w:val="20"/>
        </w:rPr>
        <w:t xml:space="preserve">от 28.12.2023 N 702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ОФИЦИАЛЬНАЯ СТАТИСТИЧЕСКАЯ МЕТОДОЛОГИЯ</w:t>
      </w:r>
    </w:p>
    <w:p>
      <w:pPr>
        <w:pStyle w:val="2"/>
        <w:jc w:val="center"/>
      </w:pPr>
      <w:r>
        <w:rPr>
          <w:sz w:val="20"/>
        </w:rPr>
        <w:t xml:space="preserve">РАСЧЕТА ВЫПУСКА ПРОДУКЦИИ И ИНДЕКСА ФИЗИЧЕСКОГО ОБЪЕМА</w:t>
      </w:r>
    </w:p>
    <w:p>
      <w:pPr>
        <w:pStyle w:val="2"/>
        <w:jc w:val="center"/>
      </w:pPr>
      <w:r>
        <w:rPr>
          <w:sz w:val="20"/>
        </w:rPr>
        <w:t xml:space="preserve">ПО ВИДУ ЭКОНОМИЧЕСКОЙ ДЕЯТЕЛЬНОСТИ "СТРОИТЕЛЬСТВО"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Официальная статистическая методология расчета выпуска продукции и индекса физического объема по </w:t>
      </w:r>
      <w:hyperlink w:history="0"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экономической деятельности "Строительство" (далее - Методология) определяет порядок проведения годовых и квартальных расчетов по Российской Федерации и субъектам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Настоящая Методология распространяется только на деятельность Росстата и его территориальных органов и не затрагивает права и законные интересы юридических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понятия и определения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Все понятия и определения, приведенные в данной Методологии, используются исключительно для применения настоящей Методологии с целью расчета выпуска продукции и индекса физического объема по </w:t>
      </w:r>
      <w:hyperlink w:history="0"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экономической деятельности "Строительство".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методике используются понятия и определения в соответствии с международными рекомендациями Системы национальных счетов 2008 (далее - СНС-2008)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Система национальных счетов 2008 года принята Европейской комиссией, МВФ, ОЭСР, ООН, Всемирным банком. Нью-Йорк, 2012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 товаров и услуг - суммарная стоимость товаров и услуг, являющихся результатом производственной деятельности единиц-резидентов национальной экономики в отчетном периоде. Реализованные товары и услуги включаются в выпуск по фактической рыночной стоимости, нереализованная готовая продукция - по средним рыночным ценам, изменение незавершенного производства - по себестоимости.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товаров и услуг по </w:t>
      </w:r>
      <w:hyperlink w:history="0"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экономической деятельности "Строительство" (далее - Выпуск) - совокупность затрат юридических и физических лиц, направленных на строительство новых объектов, реконструкцию (включая расширение и модернизацию) и ремонт жилых и нежилых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Выпуска осуществляется по </w:t>
      </w:r>
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разделу F</w:t>
        </w:r>
      </w:hyperlink>
      <w:r>
        <w:rPr>
          <w:sz w:val="20"/>
        </w:rPr>
        <w:t xml:space="preserve"> "Строительство" Общероссийского классификатора видов экономической деятельности ОК 029-2014 (КДЕС Ред.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Стоимостная оценка Выпуска формируется в текущих ценах отчетного периода по всем типам хозяйствующих субъектов (организации, не относящиеся к субъектам малого предпринимательства, малые и микропредприятия, индивидуальные предприниматели без образования юридического лица и физические лица) с учетом оценки объемов строительных работ, не наблюдаемых прямыми статистическими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формируется по трем институциональным секторам экономики: "Нефинансовые корпорации", "Государственное управление" и "Домашние хозяйства", по каждому из которых определяется стоимость выполненных строительных работ различными производственными единицами.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"Нефинансовые корпорации" включает институциональные единицы &lt;1&gt;, основной функцией которых является производство товаров, работ и нефинансовых услуг с целью продажи их на рынке и получения прибыли. Затраты на производство возмещаются в основном из выручки от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Классификатор институциональных единиц по секторам экономики (КИЕС), утвержденный приказом Росстата от 2 августа 2004 г. N 110.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Сектор "Домашние хозяйства" представляет собой институциональные единицы, состоящие из одного лица или группы лиц, основными функциями которых являются потребление товаров и услуг, а также производство товаров и услуг для реализации и собственного использования, в том числе в рамках некорпорированных предприятий, принадлежащих домашним хозяйствам. В данный сектор входят индивидуальные предприниматели без образования юридического лица и другие физические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"Государственное управление" охватывает институциональные единицы, которые производят услуги для индивидуального или коллективного потребления главным образом на нерыночной основе и возмещают затраты преимущественно за счет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Методология описывает порядок оценки стоимости рыночных услуг по </w:t>
      </w:r>
      <w:hyperlink w:history="0"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экономической деятельности "Строительство" по двум институциональным секторам экономики: "Нефинансовые корпорации" и "Домашние хозяйства".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расчета выпуска продукции по сектору "Государственное управление" по </w:t>
      </w:r>
      <w:hyperlink w:history="0"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экономической деятельности "Строительство" представлено в методике по формированию показателей сектора "Государственное управление".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 физического объема выпуска по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деятельности "Строительство" - относительный показатель, характеризующий изменение физического объема выполненных работ (услуг) по строительству в текущем периоде по сравнению с предыдущим периодом с исключением влияния изменения цен.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Источники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Источниками информации для расчета Выпуска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агрегированные данные федеральных статистических наблюдений по формам: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Росстата от 31.07.2023 N 365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N П-1</w:t>
        </w:r>
      </w:hyperlink>
      <w:r>
        <w:rPr>
          <w:sz w:val="20"/>
        </w:rPr>
        <w:t xml:space="preserve"> "Сведения о производстве и отгрузке товаров и услуг" (далее - форма N П-1);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N П-2</w:t>
        </w:r>
      </w:hyperlink>
      <w:r>
        <w:rPr>
          <w:sz w:val="20"/>
        </w:rPr>
        <w:t xml:space="preserve"> "Сведения об инвестициях в нефинансовые активы" (далее - форма N П-2);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N П-2 (инвест)</w:t>
        </w:r>
      </w:hyperlink>
      <w:r>
        <w:rPr>
          <w:sz w:val="20"/>
        </w:rPr>
        <w:t xml:space="preserve"> "Сведения об инвестиционной деятельности" (далее - форма N П-2(инвест));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Росстата от 30.07.2021 N 462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N ПМ</w:t>
        </w:r>
      </w:hyperlink>
      <w:r>
        <w:rPr>
          <w:sz w:val="20"/>
        </w:rPr>
        <w:t xml:space="preserve"> "Сведения об основных показателях деятельности малого предприятия" (далее - форма N ПМ);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Росстата от 29.07.2022 N 533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(с изм. и доп., вступ. в силу с 01.02.2024) {КонсультантПлюс}">
        <w:r>
          <w:rPr>
            <w:sz w:val="20"/>
            <w:color w:val="0000ff"/>
          </w:rPr>
          <w:t xml:space="preserve">N МП (микро)</w:t>
        </w:r>
      </w:hyperlink>
      <w:r>
        <w:rPr>
          <w:sz w:val="20"/>
        </w:rPr>
        <w:t xml:space="preserve"> "Сведения об основных показателях деятельности микропредприятия" (далее - форма N МП-микро);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Росстата от 17.08.2020 N 469 (ред. от 30.12.2020) &quot;Об утверждении форм федерального статистического наблюдения и указаний по их заполнению для организации сплошного федерального статистического наблюдения за деятельностью субъектов малого и среднего предпринимательства в 2021 году по итогам за 2020 год&quot; (вместе с &quot;Указаниями по заполнению формы федерального статистического наблюдения N МП-сп &quot;Сведения об основных показателях деятельности малого предприятия за 2020 год&quot;, &quot;Указаниями по заполнению форм ------------ Утратил силу или отменен {КонсультантПлюс}">
        <w:r>
          <w:rPr>
            <w:sz w:val="20"/>
            <w:color w:val="0000ff"/>
          </w:rPr>
          <w:t xml:space="preserve">N МП-сп</w:t>
        </w:r>
      </w:hyperlink>
      <w:r>
        <w:rPr>
          <w:sz w:val="20"/>
        </w:rPr>
        <w:t xml:space="preserve"> "Сведения об основных показателях деятельности малого предприятия" (далее - форма N МП-сп);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Росстата от 17.08.2020 N 469 (ред. от 30.12.2020) &quot;Об утверждении форм федерального статистического наблюдения и указаний по их заполнению для организации сплошного федерального статистического наблюдения за деятельностью субъектов малого и среднего предпринимательства в 2021 году по итогам за 2020 год&quot; (вместе с &quot;Указаниями по заполнению формы федерального статистического наблюдения N МП-сп &quot;Сведения об основных показателях деятельности малого предприятия за 2020 год&quot;, &quot;Указаниями по заполнению форм ------------ Утратил силу или отменен {КонсультантПлюс}">
        <w:r>
          <w:rPr>
            <w:sz w:val="20"/>
            <w:color w:val="0000ff"/>
          </w:rPr>
          <w:t xml:space="preserve">N 1-предприниматель</w:t>
        </w:r>
      </w:hyperlink>
      <w:r>
        <w:rPr>
          <w:sz w:val="20"/>
        </w:rPr>
        <w:t xml:space="preserve"> "Сведения о деятельности индивидуального предпринимателя" (далее - форма N 1-предприниматель);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риказ Росстата от 30.07.2021 N 462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N 1-ИП</w:t>
        </w:r>
      </w:hyperlink>
      <w:r>
        <w:rPr>
          <w:sz w:val="20"/>
        </w:rPr>
        <w:t xml:space="preserve"> "Сведения о деятельности индивидуального предпринимателя" (далее - форма N 1-ИП);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Росстата от 31.07.2023 N 371 (ред. от 11.01.2024) &quot;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&quot; {КонсультантПлюс}">
        <w:r>
          <w:rPr>
            <w:sz w:val="20"/>
            <w:color w:val="0000ff"/>
          </w:rPr>
          <w:t xml:space="preserve">N 1-СОНКО (Р)</w:t>
        </w:r>
      </w:hyperlink>
      <w:r>
        <w:rPr>
          <w:sz w:val="20"/>
        </w:rPr>
        <w:t xml:space="preserve"> "Сведения о деятельности религиозной организации" (далее - форма N 1-СОНКО (Р));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Росстата от 31.07.2023 N 365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N 1-предприятие</w:t>
        </w:r>
      </w:hyperlink>
      <w:r>
        <w:rPr>
          <w:sz w:val="20"/>
        </w:rPr>
        <w:t xml:space="preserve"> "Основные сведения о деятельности организации" (далее - форма N 1-предприятие);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Росстата от 29.07.2022 N 537 (ред. от 25.10.2023) &quot;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&quot; (с изм. и доп., вступ. в силу с 01.03.2024) {КонсультантПлюс}">
        <w:r>
          <w:rPr>
            <w:sz w:val="20"/>
            <w:color w:val="0000ff"/>
          </w:rPr>
          <w:t xml:space="preserve">N 1-В</w:t>
        </w:r>
      </w:hyperlink>
      <w:r>
        <w:rPr>
          <w:sz w:val="20"/>
        </w:rPr>
        <w:t xml:space="preserve"> "Опросный лист для обследования бюджетов домашних хозяйств" (далее - форма N 1-В);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данные, разрабатываемые в рамках формирования показателя "Инвестиции в основной капитал по всем типам хозяйствующих субъектов с учетом экономики, ненаблюдаемой прямыми статистическими методами" в соответствии с </w:t>
      </w:r>
      <w:hyperlink w:history="0" r:id="rId26" w:tooltip="Распоряжение Правительства РФ от 06.05.2008 N 671-р (ред. от 28.03.2024) &lt;Об утверждении Федерального плана статистических работ&gt; (вместе с &quot;Федеральным планом статистических работ&quot;) {КонсультантПлюс}">
        <w:r>
          <w:rPr>
            <w:sz w:val="20"/>
            <w:color w:val="0000ff"/>
          </w:rPr>
          <w:t xml:space="preserve">пунктом 1.28.7</w:t>
        </w:r>
      </w:hyperlink>
      <w:r>
        <w:rPr>
          <w:sz w:val="20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данные платежного баланса Российской Федерации, разрабатываемые Центральным Банком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Алгоритм расчета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Формирование Выпуска с годовой периодичностью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Оценка Выпуска (за отчетный год) по Российской Федерации и субъектам Российской Федерации осуществляется на основе годовых данных всех типов хозяйствующих субъектов.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Выпуск за отчетный год в текущих ценах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29241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(1)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 - затраты на строительство и реконструкцию зданий и сооружений,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CR - затраты на ремонт зданий и сооружений,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NZP - незавершенное производство,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RB - разведочное бурение, тыс. руб;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27622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объем выпуска теневых операций юридических лиц &lt;1&gt;,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Рассчитывается в соответствии с Официальной статистической </w:t>
      </w:r>
      <w:hyperlink w:history="0" r:id="rId29" w:tooltip="Приказ Росстата от 21.12.2023 N 676 &quot;Об утверждении Официальной статистической методологии расчета объемов ненаблюдаемой экономической деятельности при формировании валового внутреннего продукта Российской Федерации&quot; {КонсультантПлюс}">
        <w:r>
          <w:rPr>
            <w:sz w:val="20"/>
            <w:color w:val="0000ff"/>
          </w:rPr>
          <w:t xml:space="preserve">методологией</w:t>
        </w:r>
      </w:hyperlink>
      <w:r>
        <w:rPr>
          <w:sz w:val="20"/>
        </w:rPr>
        <w:t xml:space="preserve"> расчета объемов ненаблюдаемой экономической деятельности при формировании валового внутреннего продукта Российской Федерации, утвержденной приказом Росстата от 21.12.2023 N 676.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EXP - экспорт строительных услуг в целом (на федеральном уровне, без распределения по субъектам Российской Федерации) по данным платежного баланса Российской Федерации,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IMP - импорт строительных услуг в целом (на федеральном уровне, без распределения по субъектам Российской Федерации) по данным платежного баланса Российской Федерации,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5.1.1.1. Затраты на строительство и реконструкцию зданий и сооружений (CS) определяются на основе сведений организаций-застройщиков о капитальных вложениях в здания и сооружения - по данным </w:t>
      </w:r>
      <w:hyperlink w:history="0" r:id="rId30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 и данных, разрабатываемых в рамках расчета показателя "Инвестиции в основной капитал по всем типам хозяйствующих субъектов с учетом экономики, ненаблюдаемой прямыми статистическими методами"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CS = CS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CS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CS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CS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CS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</w:t>
      </w:r>
    </w:p>
    <w:p>
      <w:pPr>
        <w:pStyle w:val="0"/>
        <w:jc w:val="center"/>
      </w:pPr>
      <w:r>
        <w:rPr>
          <w:sz w:val="20"/>
        </w:rPr>
        <w:t xml:space="preserve">- CS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CS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- CS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- CS</w:t>
      </w:r>
      <w:r>
        <w:rPr>
          <w:sz w:val="20"/>
          <w:vertAlign w:val="subscript"/>
        </w:rPr>
        <w:t xml:space="preserve">9</w:t>
      </w:r>
      <w:r>
        <w:rPr>
          <w:sz w:val="20"/>
        </w:rPr>
        <w:t xml:space="preserve">, (2)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инвестиции в основной капитал, направленные на строительство жилых зданий и помещений (по всем типам хозяйствующих субъектов),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инвестиции в основной капитал, направленные на строительство зданий (кроме жилых) и сооружений, расходы на улучшение земель (по всем типам хозяйствующих субъектов),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прочие затраты (в части строительства),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затраты на разведку недр в части строительства,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затраты на проектно-изыскательские работы для строительства по данным </w:t>
      </w:r>
      <w:hyperlink w:history="0" r:id="rId31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затраты на работы по монтажу и демонтажу буровых вышек на нефть и газ по данным </w:t>
      </w:r>
      <w:hyperlink w:history="0" r:id="rId32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- уплаченные банку проценты за кредит (в части, приходящейся на строительно-монтажные работы и прочие капитальные работы строительного характера) по данным </w:t>
      </w:r>
      <w:hyperlink w:history="0" r:id="rId33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- прирост объема инвестиций в основной капитал за счет проданных вновь построенных жилых зданий,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9</w:t>
      </w:r>
      <w:r>
        <w:rPr>
          <w:sz w:val="20"/>
        </w:rPr>
        <w:t xml:space="preserve"> - прирост объема инвестиций в основной капитал за счет проданных вновь построенных нежилых зданий,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5.1.1.2. Прочие затраты (в части строительства) (CS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) определяются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= CS</w:t>
      </w:r>
      <w:r>
        <w:rPr>
          <w:sz w:val="20"/>
          <w:vertAlign w:val="subscript"/>
        </w:rPr>
        <w:t xml:space="preserve">p</w:t>
      </w:r>
      <w:r>
        <w:rPr>
          <w:sz w:val="20"/>
        </w:rPr>
        <w:t xml:space="preserve"> - CS</w:t>
      </w:r>
      <w:r>
        <w:rPr>
          <w:sz w:val="20"/>
          <w:vertAlign w:val="subscript"/>
        </w:rPr>
        <w:t xml:space="preserve">c1</w:t>
      </w:r>
      <w:r>
        <w:rPr>
          <w:sz w:val="20"/>
        </w:rPr>
        <w:t xml:space="preserve"> - CS</w:t>
      </w:r>
      <w:r>
        <w:rPr>
          <w:sz w:val="20"/>
          <w:vertAlign w:val="subscript"/>
        </w:rPr>
        <w:t xml:space="preserve">c2</w:t>
      </w:r>
      <w:r>
        <w:rPr>
          <w:sz w:val="20"/>
        </w:rPr>
        <w:t xml:space="preserve"> - (CS</w:t>
      </w:r>
      <w:r>
        <w:rPr>
          <w:sz w:val="20"/>
          <w:vertAlign w:val="subscript"/>
        </w:rPr>
        <w:t xml:space="preserve">c3</w:t>
      </w:r>
      <w:r>
        <w:rPr>
          <w:sz w:val="20"/>
        </w:rPr>
        <w:t xml:space="preserve"> + CS</w:t>
      </w:r>
      <w:r>
        <w:rPr>
          <w:sz w:val="20"/>
          <w:vertAlign w:val="subscript"/>
        </w:rPr>
        <w:t xml:space="preserve">c4</w:t>
      </w:r>
      <w:r>
        <w:rPr>
          <w:sz w:val="20"/>
        </w:rPr>
        <w:t xml:space="preserve"> + CS</w:t>
      </w:r>
      <w:r>
        <w:rPr>
          <w:sz w:val="20"/>
          <w:vertAlign w:val="subscript"/>
        </w:rPr>
        <w:t xml:space="preserve">c5</w:t>
      </w:r>
      <w:r>
        <w:rPr>
          <w:sz w:val="20"/>
        </w:rPr>
        <w:t xml:space="preserve"> + CS</w:t>
      </w:r>
      <w:r>
        <w:rPr>
          <w:sz w:val="20"/>
          <w:vertAlign w:val="subscript"/>
        </w:rPr>
        <w:t xml:space="preserve">c6</w:t>
      </w:r>
      <w:r>
        <w:rPr>
          <w:sz w:val="20"/>
        </w:rPr>
        <w:t xml:space="preserve">) * k</w:t>
      </w:r>
      <w:r>
        <w:rPr>
          <w:sz w:val="20"/>
          <w:vertAlign w:val="subscript"/>
        </w:rPr>
        <w:t xml:space="preserve">d</w:t>
      </w:r>
      <w:r>
        <w:rPr>
          <w:sz w:val="20"/>
        </w:rPr>
        <w:t xml:space="preserve"> (3)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p</w:t>
      </w:r>
      <w:r>
        <w:rPr>
          <w:sz w:val="20"/>
        </w:rPr>
        <w:t xml:space="preserve"> - прочие инвестиции (по всем типам хозяйствующих субъектов),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c1</w:t>
      </w:r>
      <w:r>
        <w:rPr>
          <w:sz w:val="20"/>
        </w:rPr>
        <w:t xml:space="preserve"> - затраты на формирование рабочего, продуктивного и племенного стада (по всем типам хозяйствующих субъектов),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c2</w:t>
      </w:r>
      <w:r>
        <w:rPr>
          <w:sz w:val="20"/>
        </w:rPr>
        <w:t xml:space="preserve"> - затраты по насаждению и выращиванию многолетних культур (по всем типам хозяйствующих субъектов),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c3</w:t>
      </w:r>
      <w:r>
        <w:rPr>
          <w:sz w:val="20"/>
        </w:rPr>
        <w:t xml:space="preserve"> - затраты на работы по бурению, связанному с добычей нефти, газа и газового конденсата по организациям, не относящимся к субъектам малого предпринимательства, по данным </w:t>
      </w:r>
      <w:hyperlink w:history="0" r:id="rId34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c4</w:t>
      </w:r>
      <w:r>
        <w:rPr>
          <w:sz w:val="20"/>
        </w:rPr>
        <w:t xml:space="preserve"> - затраты на приобретение фондов библиотек по организациям, не относящимся к субъектам малого предпринимательства, по данным </w:t>
      </w:r>
      <w:hyperlink w:history="0" r:id="rId35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c5</w:t>
      </w:r>
      <w:r>
        <w:rPr>
          <w:sz w:val="20"/>
        </w:rPr>
        <w:t xml:space="preserve"> - затраты на приобретение животных для зоопарков и подобных учреждений, служебных сторожевых собак по организациям, не относящимся к субъектам малого предпринимательства, по данным </w:t>
      </w:r>
      <w:hyperlink w:history="0" r:id="rId36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c6</w:t>
      </w:r>
      <w:r>
        <w:rPr>
          <w:sz w:val="20"/>
        </w:rPr>
        <w:t xml:space="preserve"> - затраты по переселению в связи со строительством по организациям, не относящимся к субъектам малого предпринимательства, по данным </w:t>
      </w:r>
      <w:hyperlink w:history="0" r:id="rId37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d</w:t>
      </w:r>
      <w:r>
        <w:rPr>
          <w:sz w:val="20"/>
        </w:rPr>
        <w:t xml:space="preserve"> - коэффициент досчета до полного круга хозяйствующих субъектов,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7811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(4)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pmp</w:t>
      </w:r>
      <w:r>
        <w:rPr>
          <w:sz w:val="20"/>
        </w:rPr>
        <w:t xml:space="preserve"> - прочие инвестиции в основной капитал по организациям, не относящимся к субъектам малого предпринимательства, по данным </w:t>
      </w:r>
      <w:hyperlink w:history="0" r:id="rId39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c1mp</w:t>
      </w:r>
      <w:r>
        <w:rPr>
          <w:sz w:val="20"/>
        </w:rPr>
        <w:t xml:space="preserve"> - затраты на формирование рабочего, продуктивного и племенного стада по организациям, не относящимся к субъектам малого предпринимательства, по данным </w:t>
      </w:r>
      <w:hyperlink w:history="0" r:id="rId40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c2mp</w:t>
      </w:r>
      <w:r>
        <w:rPr>
          <w:sz w:val="20"/>
        </w:rPr>
        <w:t xml:space="preserve"> - затраты по насаждению и выращиванию многолетних культур по организациям, не относящимся к субъектам малого предпринимательства, по данным </w:t>
      </w:r>
      <w:hyperlink w:history="0" r:id="rId41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5.1.1.3. Затраты на разведку недр по всем типам хозяйствующих субъектов в части строительства (CS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) определяются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= CS</w:t>
      </w:r>
      <w:r>
        <w:rPr>
          <w:sz w:val="20"/>
          <w:vertAlign w:val="subscript"/>
        </w:rPr>
        <w:t xml:space="preserve">c7</w:t>
      </w:r>
      <w:r>
        <w:rPr>
          <w:sz w:val="20"/>
        </w:rPr>
        <w:t xml:space="preserve"> x k</w:t>
      </w:r>
      <w:r>
        <w:rPr>
          <w:sz w:val="20"/>
          <w:vertAlign w:val="subscript"/>
        </w:rPr>
        <w:t xml:space="preserve">d</w:t>
      </w:r>
      <w:r>
        <w:rPr>
          <w:sz w:val="20"/>
        </w:rPr>
        <w:t xml:space="preserve">, (5)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c7</w:t>
      </w:r>
      <w:r>
        <w:rPr>
          <w:sz w:val="20"/>
        </w:rPr>
        <w:t xml:space="preserve"> - затраты на разведочное бурение по организациям, не относящимся к субъектам малого предпринимательства, по данным </w:t>
      </w:r>
      <w:hyperlink w:history="0" r:id="rId42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 (инвест)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5.1.1.4. Затраты на ремонт зданий и сооружений (CR) определяются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CR = CR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CR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CR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CR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CR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CR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, (6)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CR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расходы на ремонт, осуществленные по организациям, не относящимся к субъектам малого предпринимательства, по данным </w:t>
      </w:r>
      <w:hyperlink w:history="0" r:id="rId43" w:tooltip="Приказ Росстата от 31.07.2023 N 365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формы N 1-предприятие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CR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расходы на ремонт, осуществленные субъектами малого предпринимательства и индивидуальными предпринимателями, на основе данных выборочного и сплошного наблюдения малого и среднего бизнеса,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CR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расходы на ремонт, осуществленные органами государственного управления,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CR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расходы на ремонт, осуществленные некоммерческими организациями, обслуживающими домашние хозяйства,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CR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расходы населения на ремонт жилья, выполненный физическими лицами и некорпорированными предприятиями по данным </w:t>
      </w:r>
      <w:hyperlink w:history="0" r:id="rId44" w:tooltip="Приказ Росстата от 29.07.2022 N 537 (ред. от 25.10.2023) &quot;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&quot; (с изм. и доп., вступ. в силу с 01.03.2024) {КонсультантПлюс}">
        <w:r>
          <w:rPr>
            <w:sz w:val="20"/>
            <w:color w:val="0000ff"/>
          </w:rPr>
          <w:t xml:space="preserve">формы N 1-В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CR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расходы населения на ремонт жилья, выполненный организациями по данным </w:t>
      </w:r>
      <w:hyperlink w:history="0" r:id="rId45" w:tooltip="Приказ Росстата от 29.07.2022 N 537 (ред. от 25.10.2023) &quot;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&quot; (с изм. и доп., вступ. в силу с 01.03.2024) {КонсультантПлюс}">
        <w:r>
          <w:rPr>
            <w:sz w:val="20"/>
            <w:color w:val="0000ff"/>
          </w:rPr>
          <w:t xml:space="preserve">формы N 1-В</w:t>
        </w:r>
      </w:hyperlink>
      <w:r>
        <w:rPr>
          <w:sz w:val="20"/>
        </w:rPr>
        <w:t xml:space="preserve">,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5.1.1.5. Расходы на ремонт, осуществленные органами государственного управления (CR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) рассчитываются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152525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27622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доля расходов на ремонт в общем объеме промежуточного потребления по сектору "Государственное управление",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IC</w:t>
      </w:r>
      <w:r>
        <w:rPr>
          <w:sz w:val="20"/>
          <w:vertAlign w:val="superscript"/>
        </w:rPr>
        <w:t xml:space="preserve">GU</w:t>
      </w:r>
      <w:r>
        <w:rPr>
          <w:sz w:val="20"/>
        </w:rPr>
        <w:t xml:space="preserve"> - промежуточное потребление сектора "Государственное управление",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5.1.1.6. Расходы на ремонт, осуществленные некоммерческими организациями, обслуживающими домашние хозяйства (CR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) рассчитываются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266825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3333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доля расходов на ремонт в общем объеме промежуточного потребления по сектору "Некоммерческие организации, обслуживающие домашние хозяйства",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IC</w:t>
      </w:r>
      <w:r>
        <w:rPr>
          <w:sz w:val="20"/>
          <w:vertAlign w:val="superscript"/>
        </w:rPr>
        <w:t xml:space="preserve">NKO</w:t>
      </w:r>
      <w:r>
        <w:rPr>
          <w:sz w:val="20"/>
        </w:rPr>
        <w:t xml:space="preserve"> - промежуточное потребление сектора "Некоммерческие организации обслуживающие домашние хозяйства",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Выпуск за отчетный год в текущих ценах по сектору "Домашние хозяйства" </w:t>
      </w:r>
      <w:r>
        <w:rPr>
          <w:position w:val="-11"/>
        </w:rPr>
        <w:drawing>
          <wp:inline distT="0" distB="0" distL="0" distR="0">
            <wp:extent cx="42862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4478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cih</w:t>
      </w:r>
      <w:r>
        <w:rPr>
          <w:sz w:val="20"/>
        </w:rPr>
        <w:t xml:space="preserve"> - затраты на строительство индивидуальных жилых домов, садовых домов и хозяйственных построек на садовых земельных участках, выполненное собственными силами населения,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ip</w:t>
      </w:r>
      <w:r>
        <w:rPr>
          <w:sz w:val="20"/>
        </w:rPr>
        <w:t xml:space="preserve"> - затраты индивидуальных предпринимателей на строительство зданий и сооружений (для расчета используется показатель выручки (с учетом налогов и аналогичных обязательных платежей) от продажи товаров, работ, услуг по данным </w:t>
      </w:r>
      <w:hyperlink w:history="0" r:id="rId52" w:tooltip="Приказ Росстата от 30.07.2021 N 462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формы N 1-ИП</w:t>
        </w:r>
      </w:hyperlink>
      <w:r>
        <w:rPr>
          <w:sz w:val="20"/>
        </w:rPr>
        <w:t xml:space="preserve">, умноженный на среднероссийское соотношение выпуска и выручки по индивидуальным предпринимателям по </w:t>
      </w:r>
      <w:hyperlink w:history="0"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экономической деятельности "Строительство", рассчитанное по итогам сплошного обследования малого и среднего предпринимательства,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Выпуск по сектору "Нефинансовые корпорации" </w:t>
      </w:r>
      <w:r>
        <w:rPr>
          <w:position w:val="-11"/>
        </w:rPr>
        <w:drawing>
          <wp:inline distT="0" distB="0" distL="0" distR="0">
            <wp:extent cx="419100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0763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5.1.4. Индекс физического объема Выпуска по секторам "Нефинансовые корпорации" и "Домашние хозяйства" (IO)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3811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(11)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ID - индекс-дефлятор на строительно-монтажные работы отчетного года к предыдущему году </w:t>
      </w:r>
      <w:hyperlink w:history="0" w:anchor="P189" w:tooltip="&lt;1&gt; Рассчитывается в соответствии с Официальной статистической методологией по разработке показателей по виду деятельности &quot;Строительство&quot; на региональном и федеральном уровне, утвержденной приказом Росстата от 25.12.2015 N 654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течение года до получения итоговых годовых данных (алгоритм расчета представлен в </w:t>
      </w:r>
      <w:hyperlink w:history="0" w:anchor="P80" w:tooltip="5.1. Оценка Выпуска (за отчетный год) по Российской Федерации и субъектам Российской Федерации осуществляется на основе годовых данных всех типов хозяйствующих субъектов.">
        <w:r>
          <w:rPr>
            <w:sz w:val="20"/>
            <w:color w:val="0000ff"/>
          </w:rPr>
          <w:t xml:space="preserve">п. 5.1</w:t>
        </w:r>
      </w:hyperlink>
      <w:r>
        <w:rPr>
          <w:sz w:val="20"/>
        </w:rPr>
        <w:t xml:space="preserve">) осуществляется формирование двух (оперативных) оценок Выпуска.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Оценка Выпуска (первая оперативная оценка) производится в целом по Российской Федерации за январь - декабрь отчетного года с использованием индекса физического объема работ, выполненных по </w:t>
      </w:r>
      <w:hyperlink w:history="0"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деятельности "Строительство", и индекса-дефлятора на строительно-монтажные работы, рассчитанных на основе данных </w:t>
      </w:r>
      <w:hyperlink w:history="0" r:id="rId58" w:tooltip="Приказ Росстата от 31.07.2023 N 365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формы N П-1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5.2.1.1. Расчет Выпуска по институциональным секторам "Нефинансовые корпорации" и "Домашние хозяйства" за отчетный год в текущих ценах </w:t>
      </w:r>
      <w:r>
        <w:rPr>
          <w:position w:val="-11"/>
        </w:rPr>
        <w:drawing>
          <wp:inline distT="0" distB="0" distL="0" distR="0">
            <wp:extent cx="39052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осуществляется по формуле: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381125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(12)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42862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Выпуск за год, предшествующий отчетному t-1 в текущих ценах предыдущего года p</w:t>
      </w:r>
      <w:r>
        <w:rPr>
          <w:sz w:val="20"/>
          <w:vertAlign w:val="subscript"/>
        </w:rPr>
        <w:t xml:space="preserve">t-1,</w:t>
      </w:r>
      <w:r>
        <w:rPr>
          <w:sz w:val="20"/>
        </w:rPr>
        <w:t xml:space="preserve">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</w:t>
      </w:r>
      <w:r>
        <w:rPr>
          <w:sz w:val="20"/>
          <w:vertAlign w:val="subscript"/>
        </w:rPr>
        <w:t xml:space="preserve">s</w:t>
      </w:r>
      <w:r>
        <w:rPr>
          <w:sz w:val="20"/>
        </w:rPr>
        <w:t xml:space="preserve"> - индекс физического объема работ, выполненных по </w:t>
      </w:r>
      <w:hyperlink w:history="0"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деятельности "Строительство" отчетного года к предыдущему году &lt;1&gt;,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Рассчитывается в соответствии с Официальной статистической </w:t>
      </w:r>
      <w:hyperlink w:history="0" r:id="rId63" w:tooltip="Приказ Росстата от 25.12.2015 N 654 (ред. от 26.04.2018) &quot;Об утверждении официальной статистической методологии по разработке показателей по виду деятельности &quot;Строительство&quot; на региональном и федеральном уровне&quot; {КонсультантПлюс}">
        <w:r>
          <w:rPr>
            <w:sz w:val="20"/>
            <w:color w:val="0000ff"/>
          </w:rPr>
          <w:t xml:space="preserve">методологией</w:t>
        </w:r>
      </w:hyperlink>
      <w:r>
        <w:rPr>
          <w:sz w:val="20"/>
        </w:rPr>
        <w:t xml:space="preserve"> по разработке показателей по виду деятельности "Строительство" на региональном и федеральном уровне, утвержденной приказом Росстата от 25.12.2015 N 654.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5.2.1.2. В качестве индексов физического объема Выпуска по секторам "Нефинансовые корпорации" и "Домашние хозяйства" используется индекс физического объема работ, выполненных по </w:t>
      </w:r>
      <w:hyperlink w:history="0" r:id="rId64" w:tooltip="Приказ Росстата от 25.12.2015 N 654 (ред. от 26.04.2018) &quot;Об утверждении официальной статистической методологии по разработке показателей по виду деятельности &quot;Строительство&quot; на региональном и федеральном уровне&quot;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деятельности "Строительство".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Оценка Выпуска (вторая оперативная) формируется в целом по Российской Федерации за январь - декабрь отчетного года на основе оперативных данных об инвестиционной деятельности организаций, не относящихся к субъектам малого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5.2.2.1. Расчет Выпуска за отчетный год в текущих ценах </w:t>
      </w:r>
      <w:r>
        <w:rPr>
          <w:position w:val="-11"/>
        </w:rPr>
        <w:drawing>
          <wp:inline distT="0" distB="0" distL="0" distR="0">
            <wp:extent cx="39052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осуществляется по формуле: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22872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(13)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CS</w:t>
      </w:r>
      <w:r>
        <w:rPr>
          <w:sz w:val="20"/>
          <w:vertAlign w:val="subscript"/>
        </w:rPr>
        <w:t xml:space="preserve">zst,p</w:t>
      </w:r>
      <w:r>
        <w:rPr>
          <w:sz w:val="20"/>
        </w:rPr>
        <w:t xml:space="preserve"> - инвестиции в здания и сооружения по всем типам хозяйствующих субъектов за январь - декабрь отчетного года t в текущих ценах p, рассчитанные по данным </w:t>
      </w:r>
      <w:hyperlink w:history="0" r:id="rId67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</w:t>
        </w:r>
      </w:hyperlink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1,t-1</w:t>
      </w:r>
      <w:r>
        <w:rPr>
          <w:sz w:val="20"/>
        </w:rPr>
        <w:t xml:space="preserve"> - соотношение объемов нового строительства в инвестициях в здания и сооружения по всем типам хозяйствующих субъектов за год, предшествующий отчетному t-1;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2,t-1</w:t>
      </w:r>
      <w:r>
        <w:rPr>
          <w:sz w:val="20"/>
        </w:rPr>
        <w:t xml:space="preserve"> - соотношение объемов нового строительства в Выпуске за год, предшествующий отчетному t-1.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5.2.2.2. Индекс физического объема Выпуска по секторам "Нефинансовые корпорации" и "Домашние хозяйства" (IO) определяется по </w:t>
      </w:r>
      <w:hyperlink w:history="0" w:anchor="P183" w:tooltip=", (12)">
        <w:r>
          <w:rPr>
            <w:sz w:val="20"/>
            <w:color w:val="0000ff"/>
          </w:rPr>
          <w:t xml:space="preserve">формуле (12)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5.2.2.3. Выпуск по сектору "Нефинансовые корпорации" за отчетный год в текущих ценах </w:t>
      </w:r>
      <w:r>
        <w:rPr>
          <w:position w:val="-11"/>
        </w:rPr>
        <w:drawing>
          <wp:inline distT="0" distB="0" distL="0" distR="0">
            <wp:extent cx="419100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1247775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(14)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4286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_</w:t>
      </w:r>
      <w:r>
        <w:rPr>
          <w:sz w:val="20"/>
        </w:rPr>
        <w:t xml:space="preserve"> выпуск по сектору "Нефинансовые корпорации" за год, предшествующий отчетному t-1 в текущих ценах предыдущего года p</w:t>
      </w:r>
      <w:r>
        <w:rPr>
          <w:sz w:val="20"/>
          <w:vertAlign w:val="subscript"/>
        </w:rPr>
        <w:t xml:space="preserve">t-1</w:t>
      </w:r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42862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выпуск всего за год, предшествующий отчетному t-1 в текущих ценах предыдущего года p</w:t>
      </w:r>
      <w:r>
        <w:rPr>
          <w:sz w:val="20"/>
          <w:vertAlign w:val="subscript"/>
        </w:rPr>
        <w:t xml:space="preserve">t-1</w:t>
      </w:r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5.2.2.4. Выпуск по сектору "Домашние хозяйства" </w:t>
      </w:r>
      <w:r>
        <w:rPr>
          <w:position w:val="-11"/>
        </w:rPr>
        <w:drawing>
          <wp:inline distT="0" distB="0" distL="0" distR="0">
            <wp:extent cx="42862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за отчетный год в текущих ценах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1228725" cy="495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(15)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4286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выпуск по сектору "Домашние хозяйства" за год, предшествующий отчетному t-1 в текущих ценах предыдущего года p</w:t>
      </w:r>
      <w:r>
        <w:rPr>
          <w:sz w:val="20"/>
          <w:vertAlign w:val="subscript"/>
        </w:rPr>
        <w:t xml:space="preserve">t-1</w:t>
      </w:r>
      <w:r>
        <w:rPr>
          <w:sz w:val="20"/>
        </w:rPr>
        <w:t xml:space="preserve">, тыс. руб;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42862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выпуск всего за год, предшествующий отчетному t-1 в текущих ценах предыдущего года p</w:t>
      </w:r>
      <w:r>
        <w:rPr>
          <w:sz w:val="20"/>
          <w:vertAlign w:val="subscript"/>
        </w:rPr>
        <w:t xml:space="preserve">t-1</w:t>
      </w:r>
      <w:r>
        <w:rPr>
          <w:sz w:val="20"/>
        </w:rPr>
        <w:t xml:space="preserve">, тыс. руб;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Выпуска с квартальной периодичностью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Первая оценка Выпуска за кварталы отчетного года формируется с использованием индекса физического объема работ, выполненных по </w:t>
      </w:r>
      <w:hyperlink w:history="0"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<w:r>
          <w:rPr>
            <w:sz w:val="20"/>
            <w:color w:val="0000ff"/>
          </w:rPr>
          <w:t xml:space="preserve">виду</w:t>
        </w:r>
      </w:hyperlink>
      <w:r>
        <w:rPr>
          <w:sz w:val="20"/>
        </w:rPr>
        <w:t xml:space="preserve"> деятельности "Строительство", и индекса-дефлятора на строительно-монтажные работы на основе данных </w:t>
      </w:r>
      <w:hyperlink w:history="0" r:id="rId77" w:tooltip="Приказ Росстата от 31.07.2023 N 365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{КонсультантПлюс}">
        <w:r>
          <w:rPr>
            <w:sz w:val="20"/>
            <w:color w:val="0000ff"/>
          </w:rPr>
          <w:t xml:space="preserve">формы N П-1</w:t>
        </w:r>
      </w:hyperlink>
      <w:r>
        <w:rPr>
          <w:sz w:val="20"/>
        </w:rPr>
        <w:t xml:space="preserve"> по </w:t>
      </w:r>
      <w:hyperlink w:history="0" w:anchor="P183" w:tooltip=", (12)">
        <w:r>
          <w:rPr>
            <w:sz w:val="20"/>
            <w:color w:val="0000ff"/>
          </w:rPr>
          <w:t xml:space="preserve">формуле (12)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Вторая оценка Выпуска осуществляется на основе оперативных данных об инвестиционной деятельности организаций, не относящихся к субъектам малого предпринимательства, по данным </w:t>
      </w:r>
      <w:hyperlink w:history="0" r:id="rId78" w:tooltip="Приказ Росстата от 31.07.2023 N 359 (ред. от 11.01.2024) &quot;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{КонсультантПлюс}">
        <w:r>
          <w:rPr>
            <w:sz w:val="20"/>
            <w:color w:val="0000ff"/>
          </w:rPr>
          <w:t xml:space="preserve">формы N П-2</w:t>
        </w:r>
      </w:hyperlink>
      <w:r>
        <w:rPr>
          <w:sz w:val="20"/>
        </w:rPr>
        <w:t xml:space="preserve"> по </w:t>
      </w:r>
      <w:hyperlink w:history="0" w:anchor="P195" w:tooltip=", (13)">
        <w:r>
          <w:rPr>
            <w:sz w:val="20"/>
            <w:color w:val="0000ff"/>
          </w:rPr>
          <w:t xml:space="preserve">формуле (13)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Выпуск по кварталам распределяется по итогам годовой оценки пропорционально квартальному распределению Выпуска за предыдущий год. Индекс физического объема выпуска по кварталам определяется по </w:t>
      </w:r>
      <w:hyperlink w:history="0" w:anchor="P175" w:tooltip=", (11)">
        <w:r>
          <w:rPr>
            <w:sz w:val="20"/>
            <w:color w:val="0000ff"/>
          </w:rPr>
          <w:t xml:space="preserve">формуле (11)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28.12.2023 N 702</w:t>
            <w:br/>
            <w:t>"Об утверждении Официальной статистической методологии расчета выпуска продукции и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4449&amp;dst=100029" TargetMode = "External"/>
	<Relationship Id="rId8" Type="http://schemas.openxmlformats.org/officeDocument/2006/relationships/hyperlink" Target="https://login.consultant.ru/link/?req=doc&amp;base=LAW&amp;n=478500&amp;dst=106028" TargetMode = "External"/>
	<Relationship Id="rId9" Type="http://schemas.openxmlformats.org/officeDocument/2006/relationships/hyperlink" Target="https://login.consultant.ru/link/?req=doc&amp;base=LAW&amp;n=478500&amp;dst=106028" TargetMode = "External"/>
	<Relationship Id="rId10" Type="http://schemas.openxmlformats.org/officeDocument/2006/relationships/hyperlink" Target="https://login.consultant.ru/link/?req=doc&amp;base=LAW&amp;n=478500&amp;dst=106028" TargetMode = "External"/>
	<Relationship Id="rId11" Type="http://schemas.openxmlformats.org/officeDocument/2006/relationships/hyperlink" Target="https://login.consultant.ru/link/?req=doc&amp;base=LAW&amp;n=478500&amp;dst=106028" TargetMode = "External"/>
	<Relationship Id="rId12" Type="http://schemas.openxmlformats.org/officeDocument/2006/relationships/hyperlink" Target="https://login.consultant.ru/link/?req=doc&amp;base=LAW&amp;n=478500&amp;dst=106028" TargetMode = "External"/>
	<Relationship Id="rId13" Type="http://schemas.openxmlformats.org/officeDocument/2006/relationships/hyperlink" Target="https://login.consultant.ru/link/?req=doc&amp;base=LAW&amp;n=478500&amp;dst=106028" TargetMode = "External"/>
	<Relationship Id="rId14" Type="http://schemas.openxmlformats.org/officeDocument/2006/relationships/hyperlink" Target="https://login.consultant.ru/link/?req=doc&amp;base=LAW&amp;n=478500&amp;dst=106028" TargetMode = "External"/>
	<Relationship Id="rId15" Type="http://schemas.openxmlformats.org/officeDocument/2006/relationships/hyperlink" Target="https://login.consultant.ru/link/?req=doc&amp;base=LAW&amp;n=468186&amp;dst=102608" TargetMode = "External"/>
	<Relationship Id="rId16" Type="http://schemas.openxmlformats.org/officeDocument/2006/relationships/hyperlink" Target="https://login.consultant.ru/link/?req=doc&amp;base=LAW&amp;n=468283&amp;dst=103781" TargetMode = "External"/>
	<Relationship Id="rId17" Type="http://schemas.openxmlformats.org/officeDocument/2006/relationships/hyperlink" Target="https://login.consultant.ru/link/?req=doc&amp;base=LAW&amp;n=468283&amp;dst=101025" TargetMode = "External"/>
	<Relationship Id="rId18" Type="http://schemas.openxmlformats.org/officeDocument/2006/relationships/hyperlink" Target="https://login.consultant.ru/link/?req=doc&amp;base=LAW&amp;n=468281&amp;dst=104408" TargetMode = "External"/>
	<Relationship Id="rId19" Type="http://schemas.openxmlformats.org/officeDocument/2006/relationships/hyperlink" Target="https://login.consultant.ru/link/?req=doc&amp;base=LAW&amp;n=458423&amp;dst=102638" TargetMode = "External"/>
	<Relationship Id="rId20" Type="http://schemas.openxmlformats.org/officeDocument/2006/relationships/hyperlink" Target="https://login.consultant.ru/link/?req=doc&amp;base=LAW&amp;n=373786&amp;dst=100022" TargetMode = "External"/>
	<Relationship Id="rId21" Type="http://schemas.openxmlformats.org/officeDocument/2006/relationships/hyperlink" Target="https://login.consultant.ru/link/?req=doc&amp;base=LAW&amp;n=373786&amp;dst=100172" TargetMode = "External"/>
	<Relationship Id="rId22" Type="http://schemas.openxmlformats.org/officeDocument/2006/relationships/hyperlink" Target="https://login.consultant.ru/link/?req=doc&amp;base=LAW&amp;n=468281&amp;dst=104069" TargetMode = "External"/>
	<Relationship Id="rId23" Type="http://schemas.openxmlformats.org/officeDocument/2006/relationships/hyperlink" Target="https://login.consultant.ru/link/?req=doc&amp;base=LAW&amp;n=468181&amp;dst=100012" TargetMode = "External"/>
	<Relationship Id="rId24" Type="http://schemas.openxmlformats.org/officeDocument/2006/relationships/hyperlink" Target="https://login.consultant.ru/link/?req=doc&amp;base=LAW&amp;n=468186&amp;dst=101347" TargetMode = "External"/>
	<Relationship Id="rId25" Type="http://schemas.openxmlformats.org/officeDocument/2006/relationships/hyperlink" Target="https://login.consultant.ru/link/?req=doc&amp;base=LAW&amp;n=461508&amp;dst=103210" TargetMode = "External"/>
	<Relationship Id="rId26" Type="http://schemas.openxmlformats.org/officeDocument/2006/relationships/hyperlink" Target="https://login.consultant.ru/link/?req=doc&amp;base=LAW&amp;n=473286&amp;dst=108256" TargetMode = "External"/>
	<Relationship Id="rId27" Type="http://schemas.openxmlformats.org/officeDocument/2006/relationships/image" Target="media/image2.wmf"/>
	<Relationship Id="rId28" Type="http://schemas.openxmlformats.org/officeDocument/2006/relationships/image" Target="media/image3.wmf"/>
	<Relationship Id="rId29" Type="http://schemas.openxmlformats.org/officeDocument/2006/relationships/hyperlink" Target="https://login.consultant.ru/link/?req=doc&amp;base=LAW&amp;n=466920&amp;dst=100011" TargetMode = "External"/>
	<Relationship Id="rId30" Type="http://schemas.openxmlformats.org/officeDocument/2006/relationships/hyperlink" Target="https://login.consultant.ru/link/?req=doc&amp;base=LAW&amp;n=468283&amp;dst=101025" TargetMode = "External"/>
	<Relationship Id="rId31" Type="http://schemas.openxmlformats.org/officeDocument/2006/relationships/hyperlink" Target="https://login.consultant.ru/link/?req=doc&amp;base=LAW&amp;n=468283&amp;dst=101025" TargetMode = "External"/>
	<Relationship Id="rId32" Type="http://schemas.openxmlformats.org/officeDocument/2006/relationships/hyperlink" Target="https://login.consultant.ru/link/?req=doc&amp;base=LAW&amp;n=468283&amp;dst=101025" TargetMode = "External"/>
	<Relationship Id="rId33" Type="http://schemas.openxmlformats.org/officeDocument/2006/relationships/hyperlink" Target="https://login.consultant.ru/link/?req=doc&amp;base=LAW&amp;n=468283&amp;dst=101025" TargetMode = "External"/>
	<Relationship Id="rId34" Type="http://schemas.openxmlformats.org/officeDocument/2006/relationships/hyperlink" Target="https://login.consultant.ru/link/?req=doc&amp;base=LAW&amp;n=468283&amp;dst=101025" TargetMode = "External"/>
	<Relationship Id="rId35" Type="http://schemas.openxmlformats.org/officeDocument/2006/relationships/hyperlink" Target="https://login.consultant.ru/link/?req=doc&amp;base=LAW&amp;n=468283&amp;dst=101025" TargetMode = "External"/>
	<Relationship Id="rId36" Type="http://schemas.openxmlformats.org/officeDocument/2006/relationships/hyperlink" Target="https://login.consultant.ru/link/?req=doc&amp;base=LAW&amp;n=468283&amp;dst=101025" TargetMode = "External"/>
	<Relationship Id="rId37" Type="http://schemas.openxmlformats.org/officeDocument/2006/relationships/hyperlink" Target="https://login.consultant.ru/link/?req=doc&amp;base=LAW&amp;n=468283&amp;dst=101025" TargetMode = "External"/>
	<Relationship Id="rId38" Type="http://schemas.openxmlformats.org/officeDocument/2006/relationships/image" Target="media/image4.wmf"/>
	<Relationship Id="rId39" Type="http://schemas.openxmlformats.org/officeDocument/2006/relationships/hyperlink" Target="https://login.consultant.ru/link/?req=doc&amp;base=LAW&amp;n=468283&amp;dst=101025" TargetMode = "External"/>
	<Relationship Id="rId40" Type="http://schemas.openxmlformats.org/officeDocument/2006/relationships/hyperlink" Target="https://login.consultant.ru/link/?req=doc&amp;base=LAW&amp;n=468283&amp;dst=101025" TargetMode = "External"/>
	<Relationship Id="rId41" Type="http://schemas.openxmlformats.org/officeDocument/2006/relationships/hyperlink" Target="https://login.consultant.ru/link/?req=doc&amp;base=LAW&amp;n=468283&amp;dst=101025" TargetMode = "External"/>
	<Relationship Id="rId42" Type="http://schemas.openxmlformats.org/officeDocument/2006/relationships/hyperlink" Target="https://login.consultant.ru/link/?req=doc&amp;base=LAW&amp;n=468283&amp;dst=101025" TargetMode = "External"/>
	<Relationship Id="rId43" Type="http://schemas.openxmlformats.org/officeDocument/2006/relationships/hyperlink" Target="https://login.consultant.ru/link/?req=doc&amp;base=LAW&amp;n=468186&amp;dst=101347" TargetMode = "External"/>
	<Relationship Id="rId44" Type="http://schemas.openxmlformats.org/officeDocument/2006/relationships/hyperlink" Target="https://login.consultant.ru/link/?req=doc&amp;base=LAW&amp;n=461508&amp;dst=103210" TargetMode = "External"/>
	<Relationship Id="rId45" Type="http://schemas.openxmlformats.org/officeDocument/2006/relationships/hyperlink" Target="https://login.consultant.ru/link/?req=doc&amp;base=LAW&amp;n=461508&amp;dst=103210" TargetMode = "External"/>
	<Relationship Id="rId46" Type="http://schemas.openxmlformats.org/officeDocument/2006/relationships/image" Target="media/image5.wmf"/>
	<Relationship Id="rId47" Type="http://schemas.openxmlformats.org/officeDocument/2006/relationships/image" Target="media/image6.wmf"/>
	<Relationship Id="rId48" Type="http://schemas.openxmlformats.org/officeDocument/2006/relationships/image" Target="media/image7.wmf"/>
	<Relationship Id="rId49" Type="http://schemas.openxmlformats.org/officeDocument/2006/relationships/image" Target="media/image8.wmf"/>
	<Relationship Id="rId50" Type="http://schemas.openxmlformats.org/officeDocument/2006/relationships/image" Target="media/image9.wmf"/>
	<Relationship Id="rId51" Type="http://schemas.openxmlformats.org/officeDocument/2006/relationships/image" Target="media/image10.wmf"/>
	<Relationship Id="rId52" Type="http://schemas.openxmlformats.org/officeDocument/2006/relationships/hyperlink" Target="https://login.consultant.ru/link/?req=doc&amp;base=LAW&amp;n=468281&amp;dst=104069" TargetMode = "External"/>
	<Relationship Id="rId53" Type="http://schemas.openxmlformats.org/officeDocument/2006/relationships/hyperlink" Target="https://login.consultant.ru/link/?req=doc&amp;base=LAW&amp;n=478500&amp;dst=106028" TargetMode = "External"/>
	<Relationship Id="rId54" Type="http://schemas.openxmlformats.org/officeDocument/2006/relationships/image" Target="media/image11.wmf"/>
	<Relationship Id="rId55" Type="http://schemas.openxmlformats.org/officeDocument/2006/relationships/image" Target="media/image12.wmf"/>
	<Relationship Id="rId56" Type="http://schemas.openxmlformats.org/officeDocument/2006/relationships/image" Target="media/image13.wmf"/>
	<Relationship Id="rId57" Type="http://schemas.openxmlformats.org/officeDocument/2006/relationships/hyperlink" Target="https://login.consultant.ru/link/?req=doc&amp;base=LAW&amp;n=478500&amp;dst=106028" TargetMode = "External"/>
	<Relationship Id="rId58" Type="http://schemas.openxmlformats.org/officeDocument/2006/relationships/hyperlink" Target="https://login.consultant.ru/link/?req=doc&amp;base=LAW&amp;n=468186&amp;dst=102608" TargetMode = "External"/>
	<Relationship Id="rId59" Type="http://schemas.openxmlformats.org/officeDocument/2006/relationships/image" Target="media/image14.wmf"/>
	<Relationship Id="rId60" Type="http://schemas.openxmlformats.org/officeDocument/2006/relationships/image" Target="media/image15.wmf"/>
	<Relationship Id="rId61" Type="http://schemas.openxmlformats.org/officeDocument/2006/relationships/image" Target="media/image16.wmf"/>
	<Relationship Id="rId62" Type="http://schemas.openxmlformats.org/officeDocument/2006/relationships/hyperlink" Target="https://login.consultant.ru/link/?req=doc&amp;base=LAW&amp;n=478500&amp;dst=106028" TargetMode = "External"/>
	<Relationship Id="rId63" Type="http://schemas.openxmlformats.org/officeDocument/2006/relationships/hyperlink" Target="https://login.consultant.ru/link/?req=doc&amp;base=LAW&amp;n=298006&amp;dst=100008" TargetMode = "External"/>
	<Relationship Id="rId64" Type="http://schemas.openxmlformats.org/officeDocument/2006/relationships/hyperlink" Target="https://login.consultant.ru/link/?req=doc&amp;base=LAW&amp;n=298006&amp;dst=100008" TargetMode = "External"/>
	<Relationship Id="rId65" Type="http://schemas.openxmlformats.org/officeDocument/2006/relationships/image" Target="media/image17.wmf"/>
	<Relationship Id="rId66" Type="http://schemas.openxmlformats.org/officeDocument/2006/relationships/image" Target="media/image18.wmf"/>
	<Relationship Id="rId67" Type="http://schemas.openxmlformats.org/officeDocument/2006/relationships/hyperlink" Target="https://login.consultant.ru/link/?req=doc&amp;base=LAW&amp;n=468283&amp;dst=103781" TargetMode = "External"/>
	<Relationship Id="rId68" Type="http://schemas.openxmlformats.org/officeDocument/2006/relationships/image" Target="media/image19.wmf"/>
	<Relationship Id="rId69" Type="http://schemas.openxmlformats.org/officeDocument/2006/relationships/image" Target="media/image20.wmf"/>
	<Relationship Id="rId70" Type="http://schemas.openxmlformats.org/officeDocument/2006/relationships/image" Target="media/image21.wmf"/>
	<Relationship Id="rId71" Type="http://schemas.openxmlformats.org/officeDocument/2006/relationships/image" Target="media/image22.wmf"/>
	<Relationship Id="rId72" Type="http://schemas.openxmlformats.org/officeDocument/2006/relationships/image" Target="media/image23.wmf"/>
	<Relationship Id="rId73" Type="http://schemas.openxmlformats.org/officeDocument/2006/relationships/image" Target="media/image24.wmf"/>
	<Relationship Id="rId74" Type="http://schemas.openxmlformats.org/officeDocument/2006/relationships/image" Target="media/image25.wmf"/>
	<Relationship Id="rId75" Type="http://schemas.openxmlformats.org/officeDocument/2006/relationships/image" Target="media/image26.wmf"/>
	<Relationship Id="rId76" Type="http://schemas.openxmlformats.org/officeDocument/2006/relationships/hyperlink" Target="https://login.consultant.ru/link/?req=doc&amp;base=LAW&amp;n=478500&amp;dst=106028" TargetMode = "External"/>
	<Relationship Id="rId77" Type="http://schemas.openxmlformats.org/officeDocument/2006/relationships/hyperlink" Target="https://login.consultant.ru/link/?req=doc&amp;base=LAW&amp;n=468186&amp;dst=102608" TargetMode = "External"/>
	<Relationship Id="rId78" Type="http://schemas.openxmlformats.org/officeDocument/2006/relationships/hyperlink" Target="https://login.consultant.ru/link/?req=doc&amp;base=LAW&amp;n=468283&amp;dst=10378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28.12.2023 N 702
"Об утверждении Официальной статистической методологии расчета выпуска продукции и индекса физического объема по виду экономической деятельности "Строительство"</dc:title>
  <dcterms:created xsi:type="dcterms:W3CDTF">2024-06-19T10:19:31Z</dcterms:created>
</cp:coreProperties>
</file>