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Росстата от 18.10.2022 N 707</w:t>
              <w:br/>
              <w:t xml:space="preserve">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октября 2022 г. N 707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ФЕДЕРАЛЬНОГО СТАТИСТИЧЕСКОГО НАБЛЮДЕНИЯ</w:t>
      </w:r>
    </w:p>
    <w:p>
      <w:pPr>
        <w:pStyle w:val="2"/>
        <w:jc w:val="center"/>
      </w:pPr>
      <w:r>
        <w:rPr>
          <w:sz w:val="20"/>
        </w:rPr>
        <w:t xml:space="preserve">С УКАЗАНИЯМИ ПО ЕЕ ЗАПОЛНЕНИЮ ДЛЯ ОРГАНИЗАЦИИ ФЕДЕРАЛЬНОГО</w:t>
      </w:r>
    </w:p>
    <w:p>
      <w:pPr>
        <w:pStyle w:val="2"/>
        <w:jc w:val="center"/>
      </w:pPr>
      <w:r>
        <w:rPr>
          <w:sz w:val="20"/>
        </w:rPr>
        <w:t xml:space="preserve">СТАТИСТИЧЕСКОГО НАБЛЮДЕНИЯ ЗА ДЕЯТЕЛЬНОСТЬЮ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5.5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w:history="0" r:id="rId8" w:tooltip="Распоряжение Правительства РФ от 06.05.2008 N 671-р (ред. от 12.09.2022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позиции 1.32.19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годовую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федерального статистического наблюдения N 1-СОНКО(Р) "Сведения о деятельности религиозной организации" с указаниями по ее заполнению и ввести ее в действие с отчета за 2022 год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Первичные статистические данные по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наблюдения, утвержденной настоящим приказом, предоставляются в соответствии с указаниями по ее заполнению по адресам, в сроки и с периодичностью, которые указаны на бланке этой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введением в действие утвержденной настоящим приказом формы федерального статистического наблюдения признать утратившим силу </w:t>
      </w:r>
      <w:hyperlink w:history="0" r:id="rId9" w:tooltip="Приказ Росстата от 01.10.2021 N 613 &quot;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1 октября 2021 г. N 613 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С.С.ГАЛКИН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8"/>
      </w:tblGrid>
      <w:tr>
        <w:tc>
          <w:tcPr>
            <w:tcW w:w="90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СТАТИСТИЧЕСКОЕ НАБЛЮДЕНИЕ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8"/>
      </w:tblGrid>
      <w:tr>
        <w:tc>
          <w:tcPr>
            <w:tcW w:w="90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КОНФИДЕНЦИАЛЬНОСТЬ ГАРАНТИРУЕТСЯ ПОЛУЧАТЕЛЕМ ИНФОРМАЦИИ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8"/>
      </w:tblGrid>
      <w:tr>
        <w:tc>
          <w:tcPr>
            <w:tcW w:w="90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bookmarkStart w:id="31" w:name="P31"/>
          <w:bookmarkEnd w:id="3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ДЕЯТЕЛЬНОСТИ РЕЛИГИОЗНОЙ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20__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95"/>
        <w:gridCol w:w="1928"/>
        <w:gridCol w:w="340"/>
        <w:gridCol w:w="2665"/>
      </w:tblGrid>
      <w:tr>
        <w:tc>
          <w:tcPr>
            <w:tcW w:w="4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Предоставляют: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 1-СОНКО(Р)</w:t>
            </w:r>
          </w:p>
        </w:tc>
      </w:tr>
      <w:tr>
        <w:tblPrEx>
          <w:tblBorders>
            <w:right w:val="nil"/>
          </w:tblBorders>
        </w:tblPrEx>
        <w:tc>
          <w:tcPr>
            <w:tcW w:w="40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- некоммерческие организации, являющиеся религиозными:</w:t>
            </w:r>
          </w:p>
          <w:p>
            <w:pPr>
              <w:pStyle w:val="0"/>
              <w:ind w:left="284"/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15 февраля по 1 апреля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Росстата: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формы от 18.10.2022 N 707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внесении изменений (при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5"/>
        <w:gridCol w:w="2569"/>
        <w:gridCol w:w="2569"/>
        <w:gridCol w:w="2570"/>
      </w:tblGrid>
      <w:tr>
        <w:tc>
          <w:tcPr>
            <w:gridSpan w:val="4"/>
            <w:tcW w:w="9043" w:type="dxa"/>
          </w:tcPr>
          <w:bookmarkStart w:id="49" w:name="P49"/>
          <w:bookmarkEnd w:id="49"/>
          <w:p>
            <w:pPr>
              <w:pStyle w:val="0"/>
            </w:pPr>
            <w:r>
              <w:rPr>
                <w:sz w:val="20"/>
              </w:rPr>
              <w:t xml:space="preserve">Наименование отчитывающейся организации _________________________________</w:t>
            </w:r>
          </w:p>
        </w:tc>
      </w:tr>
      <w:tr>
        <w:tc>
          <w:tcPr>
            <w:gridSpan w:val="4"/>
            <w:tcW w:w="9043" w:type="dxa"/>
          </w:tcPr>
          <w:bookmarkStart w:id="50" w:name="P50"/>
          <w:bookmarkEnd w:id="50"/>
          <w:p>
            <w:pPr>
              <w:pStyle w:val="0"/>
            </w:pPr>
            <w:r>
              <w:rPr>
                <w:sz w:val="20"/>
              </w:rPr>
              <w:t xml:space="preserve">Почтовый адрес __________________________________________________________</w:t>
            </w:r>
          </w:p>
        </w:tc>
      </w:tr>
      <w:tr>
        <w:tc>
          <w:tcPr>
            <w:tcW w:w="1335" w:type="dxa"/>
            <w:vMerge w:val="restart"/>
          </w:tcPr>
          <w:bookmarkStart w:id="51" w:name="P51"/>
          <w:bookmarkEnd w:id="51"/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формы по ОКУД</w:t>
            </w:r>
          </w:p>
        </w:tc>
        <w:tc>
          <w:tcPr>
            <w:gridSpan w:val="3"/>
            <w:tcW w:w="7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  <w:tr>
        <w:tc>
          <w:tcPr>
            <w:vMerge w:val="continue"/>
          </w:tcPr>
          <w:p/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отчитывающейся организации по ОКПО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0608034</w:t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outlineLvl w:val="1"/>
        <w:jc w:val="center"/>
      </w:pPr>
      <w:r>
        <w:rPr>
          <w:sz w:val="20"/>
        </w:rPr>
        <w:t xml:space="preserve">Раздел 1. Виды деятельности, которые организация</w:t>
      </w:r>
    </w:p>
    <w:p>
      <w:pPr>
        <w:pStyle w:val="0"/>
        <w:jc w:val="center"/>
      </w:pPr>
      <w:r>
        <w:rPr>
          <w:sz w:val="20"/>
        </w:rPr>
        <w:t xml:space="preserve">в соответствии с ее уставом осуществляла в отчетном году</w:t>
      </w:r>
    </w:p>
    <w:p>
      <w:pPr>
        <w:pStyle w:val="0"/>
        <w:jc w:val="center"/>
      </w:pPr>
      <w:r>
        <w:rPr>
          <w:sz w:val="20"/>
        </w:rPr>
        <w:t xml:space="preserve">(обвести кружком соответствующие номера строк)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0"/>
        <w:gridCol w:w="1134"/>
      </w:tblGrid>
      <w:tr>
        <w:tc>
          <w:tcPr>
            <w:tcW w:w="7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социального сиротства, поддержка материнства и детства, включая социальную реабилитацию детей-сирот, детей, оставшихся без попечения родителей, безнадзорных детей, детей, находящихся в трудной жизненной ситуации, а также содействие укреплению престижа и роли семьи в обществе</w:t>
            </w:r>
          </w:p>
        </w:tc>
        <w:tc>
          <w:tcPr>
            <w:tcW w:w="1134" w:type="dxa"/>
            <w:vAlign w:val="bottom"/>
          </w:tcPr>
          <w:bookmarkStart w:id="74" w:name="P74"/>
          <w:bookmarkEnd w:id="74"/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людей пожилого возраста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инвалидов и их семей</w:t>
            </w:r>
          </w:p>
        </w:tc>
        <w:tc>
          <w:tcPr>
            <w:tcW w:w="1134" w:type="dxa"/>
            <w:vAlign w:val="bottom"/>
          </w:tcPr>
          <w:bookmarkStart w:id="78" w:name="P78"/>
          <w:bookmarkEnd w:id="78"/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защита граждан, за исключением видов деятельности, указанных в </w:t>
            </w:r>
            <w:hyperlink w:history="0" w:anchor="P74" w:tooltip="01">
              <w:r>
                <w:rPr>
                  <w:sz w:val="20"/>
                  <w:color w:val="0000ff"/>
                </w:rPr>
                <w:t xml:space="preserve">строках 01</w:t>
              </w:r>
            </w:hyperlink>
            <w:r>
              <w:rPr>
                <w:sz w:val="20"/>
              </w:rPr>
              <w:t xml:space="preserve"> - </w:t>
            </w:r>
            <w:hyperlink w:history="0" w:anchor="P78" w:tooltip="03">
              <w:r>
                <w:rPr>
                  <w:sz w:val="20"/>
                  <w:color w:val="0000ff"/>
                </w:rPr>
                <w:t xml:space="preserve">03</w:t>
              </w:r>
            </w:hyperlink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Благотворительная деятельность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Содействие благотворительной деятельности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добровольчества (волонтерства)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образования, просвещения, науки, содействие такой деятельности</w:t>
            </w:r>
          </w:p>
        </w:tc>
        <w:tc>
          <w:tcPr>
            <w:tcW w:w="1134" w:type="dxa"/>
            <w:vAlign w:val="bottom"/>
          </w:tcPr>
          <w:bookmarkStart w:id="88" w:name="P88"/>
          <w:bookmarkEnd w:id="88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134" w:type="dxa"/>
            <w:vAlign w:val="bottom"/>
          </w:tcPr>
          <w:bookmarkStart w:id="90" w:name="P90"/>
          <w:bookmarkEnd w:id="90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улучшения морально-психологического состояния граждан и духовного развития личности, содействие такой деятельности, за исключением видов деятельности, указанных в </w:t>
            </w:r>
            <w:hyperlink w:history="0" w:anchor="P88" w:tooltip="15">
              <w:r>
                <w:rPr>
                  <w:sz w:val="20"/>
                  <w:color w:val="0000ff"/>
                </w:rPr>
                <w:t xml:space="preserve">строках 15</w:t>
              </w:r>
            </w:hyperlink>
            <w:r>
              <w:rPr>
                <w:sz w:val="20"/>
              </w:rPr>
              <w:t xml:space="preserve"> и </w:t>
            </w:r>
            <w:hyperlink w:history="0" w:anchor="P90" w:tooltip="18">
              <w:r>
                <w:rPr>
                  <w:sz w:val="20"/>
                  <w:color w:val="0000ff"/>
                </w:rPr>
                <w:t xml:space="preserve">18</w:t>
              </w:r>
            </w:hyperlink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межнационального сотрудничества (включая содействие укреплению мира, дружбы и согласия между народами, предотвращению национальных и религиозных конфликтов), сохранение и защита самобытности, культуры, языка и традиций народов Российской Федерации</w:t>
            </w:r>
          </w:p>
        </w:tc>
        <w:tc>
          <w:tcPr>
            <w:tcW w:w="1134" w:type="dxa"/>
            <w:vAlign w:val="bottom"/>
          </w:tcPr>
          <w:bookmarkStart w:id="94" w:name="P94"/>
          <w:bookmarkEnd w:id="94"/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Иные виды деятельности, направленные на решение социальных проблем, развитие гражданского общества в Российской Федерации, установленные законами субъектов Российской Федерации и (или) нормативными правовыми актами представительных органов муниципальных образований для признания некоммерческих организаций социально ориентированными, за исключением видов деятельности, указанных в </w:t>
            </w:r>
            <w:hyperlink w:history="0" w:anchor="P74" w:tooltip="01">
              <w:r>
                <w:rPr>
                  <w:sz w:val="20"/>
                  <w:color w:val="0000ff"/>
                </w:rPr>
                <w:t xml:space="preserve">строках 01</w:t>
              </w:r>
            </w:hyperlink>
            <w:r>
              <w:rPr>
                <w:sz w:val="20"/>
              </w:rPr>
              <w:t xml:space="preserve"> - </w:t>
            </w:r>
            <w:hyperlink w:history="0" w:anchor="P9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  <w:tc>
          <w:tcPr>
            <w:tcW w:w="1134" w:type="dxa"/>
            <w:vAlign w:val="bottom"/>
          </w:tcPr>
          <w:bookmarkStart w:id="96" w:name="P96"/>
          <w:bookmarkEnd w:id="96"/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0"/>
        <w:outlineLvl w:val="1"/>
        <w:jc w:val="center"/>
      </w:pPr>
      <w:r>
        <w:rPr>
          <w:sz w:val="20"/>
        </w:rPr>
        <w:t xml:space="preserve">Раздел 2. Источники и объемы формирования денежных средств</w:t>
      </w:r>
    </w:p>
    <w:p>
      <w:pPr>
        <w:pStyle w:val="0"/>
        <w:jc w:val="center"/>
      </w:pPr>
      <w:r>
        <w:rPr>
          <w:sz w:val="20"/>
        </w:rPr>
        <w:t xml:space="preserve">и иного имущества организации, тысяча рублей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00"/>
        <w:gridCol w:w="1361"/>
        <w:gridCol w:w="1984"/>
      </w:tblGrid>
      <w:tr>
        <w:tc>
          <w:tcPr>
            <w:tcW w:w="5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5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федерального бюджета</w:t>
            </w:r>
          </w:p>
        </w:tc>
        <w:tc>
          <w:tcPr>
            <w:tcW w:w="1361" w:type="dxa"/>
            <w:vAlign w:val="bottom"/>
          </w:tcPr>
          <w:bookmarkStart w:id="108" w:name="P108"/>
          <w:bookmarkEnd w:id="108"/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от некоммерческих неправительственных организаций, участвующих в развитии институтов гражданского общества, предоставленные за счет субсидий из федерального бюджета</w:t>
            </w:r>
          </w:p>
        </w:tc>
        <w:tc>
          <w:tcPr>
            <w:tcW w:w="1361" w:type="dxa"/>
            <w:vAlign w:val="bottom"/>
          </w:tcPr>
          <w:bookmarkStart w:id="111" w:name="P111"/>
          <w:bookmarkEnd w:id="111"/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бюджетов субъектов Российской Федерации</w:t>
            </w:r>
          </w:p>
        </w:tc>
        <w:tc>
          <w:tcPr>
            <w:tcW w:w="1361" w:type="dxa"/>
            <w:vAlign w:val="bottom"/>
          </w:tcPr>
          <w:bookmarkStart w:id="114" w:name="P114"/>
          <w:bookmarkEnd w:id="114"/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муниципальных (местных) бюджетов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государственных внебюджетных фондов</w:t>
            </w:r>
          </w:p>
        </w:tc>
        <w:tc>
          <w:tcPr>
            <w:tcW w:w="1361" w:type="dxa"/>
            <w:vAlign w:val="bottom"/>
          </w:tcPr>
          <w:bookmarkStart w:id="120" w:name="P120"/>
          <w:bookmarkEnd w:id="120"/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Пожертвования, добровольные взносы, включая имущественные, и иные целевые поступления, гранты (за исключением грантов, указанных в </w:t>
            </w:r>
            <w:hyperlink w:history="0" w:anchor="P111" w:tooltip="41">
              <w:r>
                <w:rPr>
                  <w:sz w:val="20"/>
                  <w:color w:val="0000ff"/>
                </w:rPr>
                <w:t xml:space="preserve">строке 41</w:t>
              </w:r>
            </w:hyperlink>
            <w:r>
              <w:rPr>
                <w:sz w:val="20"/>
              </w:rPr>
              <w:t xml:space="preserve">) </w:t>
            </w:r>
            <w:hyperlink w:history="0" w:anchor="P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61" w:type="dxa"/>
            <w:vAlign w:val="bottom"/>
          </w:tcPr>
          <w:bookmarkStart w:id="123" w:name="P123"/>
          <w:bookmarkEnd w:id="123"/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в том числе полученные от:</w:t>
            </w:r>
          </w:p>
          <w:p>
            <w:pPr>
              <w:pStyle w:val="0"/>
              <w:ind w:left="284"/>
            </w:pPr>
            <w:r>
              <w:rPr>
                <w:sz w:val="20"/>
              </w:rPr>
              <w:t xml:space="preserve">российских юридических лиц</w:t>
            </w:r>
          </w:p>
        </w:tc>
        <w:tc>
          <w:tcPr>
            <w:tcW w:w="1361" w:type="dxa"/>
            <w:vAlign w:val="bottom"/>
          </w:tcPr>
          <w:bookmarkStart w:id="127" w:name="P127"/>
          <w:bookmarkEnd w:id="127"/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иностранных и международных юридических лиц</w:t>
            </w:r>
          </w:p>
        </w:tc>
        <w:tc>
          <w:tcPr>
            <w:tcW w:w="1361" w:type="dxa"/>
            <w:vAlign w:val="bottom"/>
          </w:tcPr>
          <w:bookmarkStart w:id="130" w:name="P130"/>
          <w:bookmarkEnd w:id="130"/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граждан Российской Федерации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иностранных граждан и (или) лиц без гражданства</w:t>
            </w:r>
          </w:p>
        </w:tc>
        <w:tc>
          <w:tcPr>
            <w:tcW w:w="1361" w:type="dxa"/>
            <w:vAlign w:val="bottom"/>
          </w:tcPr>
          <w:bookmarkStart w:id="136" w:name="P136"/>
          <w:bookmarkEnd w:id="136"/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от предпринимательской и (или) иной приносящей доход деятельности </w:t>
            </w:r>
            <w:hyperlink w:history="0" w:anchor="P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61" w:type="dxa"/>
            <w:vAlign w:val="bottom"/>
          </w:tcPr>
          <w:bookmarkStart w:id="139" w:name="P139"/>
          <w:bookmarkEnd w:id="139"/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поступления </w:t>
            </w:r>
            <w:hyperlink w:history="0" w:anchor="P146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61" w:type="dxa"/>
            <w:vAlign w:val="bottom"/>
          </w:tcPr>
          <w:bookmarkStart w:id="142" w:name="P142"/>
          <w:bookmarkEnd w:id="142"/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>
      <w:pPr>
        <w:pStyle w:val="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outlineLvl w:val="1"/>
        <w:jc w:val="center"/>
      </w:pPr>
      <w:r>
        <w:rPr>
          <w:sz w:val="20"/>
        </w:rPr>
        <w:t xml:space="preserve">Раздел 3. Использование денежных средств и иного имущества</w:t>
      </w:r>
    </w:p>
    <w:p>
      <w:pPr>
        <w:pStyle w:val="0"/>
        <w:jc w:val="center"/>
      </w:pPr>
      <w:r>
        <w:rPr>
          <w:sz w:val="20"/>
        </w:rPr>
        <w:t xml:space="preserve">религиозной организацией, получившей денежные средства</w:t>
      </w:r>
    </w:p>
    <w:p>
      <w:pPr>
        <w:pStyle w:val="0"/>
        <w:jc w:val="center"/>
      </w:pPr>
      <w:r>
        <w:rPr>
          <w:sz w:val="20"/>
        </w:rPr>
        <w:t xml:space="preserve">и иное имущество от международных и иностранных организаций,</w:t>
      </w:r>
    </w:p>
    <w:p>
      <w:pPr>
        <w:pStyle w:val="0"/>
        <w:jc w:val="center"/>
      </w:pPr>
      <w:r>
        <w:rPr>
          <w:sz w:val="20"/>
        </w:rPr>
        <w:t xml:space="preserve">иностранных граждан и лиц без гражданства, тысяча рублей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00"/>
        <w:gridCol w:w="1361"/>
        <w:gridCol w:w="1984"/>
      </w:tblGrid>
      <w:tr>
        <w:tc>
          <w:tcPr>
            <w:tcW w:w="5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5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Расходы на основную деятельность</w:t>
            </w:r>
          </w:p>
        </w:tc>
        <w:tc>
          <w:tcPr>
            <w:tcW w:w="1361" w:type="dxa"/>
            <w:vAlign w:val="center"/>
          </w:tcPr>
          <w:bookmarkStart w:id="160" w:name="P160"/>
          <w:bookmarkEnd w:id="160"/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Расходы на благотворительную помощь</w:t>
            </w:r>
          </w:p>
        </w:tc>
        <w:tc>
          <w:tcPr>
            <w:tcW w:w="1361" w:type="dxa"/>
            <w:vAlign w:val="center"/>
          </w:tcPr>
          <w:bookmarkStart w:id="163" w:name="P163"/>
          <w:bookmarkEnd w:id="163"/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из них физическим лицам</w:t>
            </w:r>
          </w:p>
        </w:tc>
        <w:tc>
          <w:tcPr>
            <w:tcW w:w="1361" w:type="dxa"/>
            <w:vAlign w:val="center"/>
          </w:tcPr>
          <w:bookmarkStart w:id="166" w:name="P166"/>
          <w:bookmarkEnd w:id="166"/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  <w:vAlign w:val="center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 в натуральной форме</w:t>
            </w:r>
          </w:p>
        </w:tc>
        <w:tc>
          <w:tcPr>
            <w:tcW w:w="1361" w:type="dxa"/>
            <w:vAlign w:val="center"/>
          </w:tcPr>
          <w:bookmarkStart w:id="169" w:name="P169"/>
          <w:bookmarkEnd w:id="169"/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 расходования денежных средств и иного имущества</w:t>
            </w:r>
          </w:p>
        </w:tc>
        <w:tc>
          <w:tcPr>
            <w:tcW w:w="1361" w:type="dxa"/>
            <w:vAlign w:val="center"/>
          </w:tcPr>
          <w:bookmarkStart w:id="172" w:name="P172"/>
          <w:bookmarkEnd w:id="172"/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outlineLvl w:val="1"/>
        <w:jc w:val="center"/>
      </w:pPr>
      <w:r>
        <w:rPr>
          <w:sz w:val="20"/>
        </w:rPr>
        <w:t xml:space="preserve">Раздел 4. </w:t>
      </w:r>
      <w:hyperlink w:history="0" w:anchor="P209" w:tooltip="&lt;1&gt; Заполняется по видам деятельности, предусмотренным разделом 1 данной форм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Численность, начисленная заработная плата,</w:t>
      </w:r>
    </w:p>
    <w:p>
      <w:pPr>
        <w:pStyle w:val="0"/>
        <w:jc w:val="center"/>
      </w:pPr>
      <w:r>
        <w:rPr>
          <w:sz w:val="20"/>
        </w:rPr>
        <w:t xml:space="preserve">выплаты социального характера и страховые взносы</w:t>
      </w:r>
    </w:p>
    <w:p>
      <w:pPr>
        <w:pStyle w:val="0"/>
        <w:jc w:val="center"/>
      </w:pPr>
      <w:r>
        <w:rPr>
          <w:sz w:val="20"/>
        </w:rPr>
        <w:t xml:space="preserve">на обязательное социальное страхование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00"/>
        <w:gridCol w:w="1361"/>
        <w:gridCol w:w="1984"/>
      </w:tblGrid>
      <w:tr>
        <w:tc>
          <w:tcPr>
            <w:tcW w:w="5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5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работников (без внешних совместителей и работников несписочного состава), чел</w:t>
            </w:r>
          </w:p>
        </w:tc>
        <w:tc>
          <w:tcPr>
            <w:tcW w:w="1361" w:type="dxa"/>
            <w:vAlign w:val="bottom"/>
          </w:tcPr>
          <w:bookmarkStart w:id="186" w:name="P186"/>
          <w:bookmarkEnd w:id="186"/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Фонд начисленной заработной платы работникам - всего, тыс руб</w:t>
            </w:r>
          </w:p>
        </w:tc>
        <w:tc>
          <w:tcPr>
            <w:tcW w:w="1361" w:type="dxa"/>
            <w:vAlign w:val="bottom"/>
          </w:tcPr>
          <w:bookmarkStart w:id="189" w:name="P189"/>
          <w:bookmarkEnd w:id="189"/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4"/>
            </w:pPr>
            <w:r>
              <w:rPr>
                <w:sz w:val="20"/>
              </w:rPr>
              <w:t xml:space="preserve">работникам списочного состава (без внешних совместителей), тыс руб</w:t>
            </w:r>
          </w:p>
        </w:tc>
        <w:tc>
          <w:tcPr>
            <w:tcW w:w="1361" w:type="dxa"/>
            <w:vAlign w:val="bottom"/>
          </w:tcPr>
          <w:bookmarkStart w:id="193" w:name="P193"/>
          <w:bookmarkEnd w:id="193"/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внешним совместителям, тыс руб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работникам, выполнявшим работы по договорам гражданско-правового характера, и другим лицам несписочного состава, тыс руб</w:t>
            </w:r>
          </w:p>
        </w:tc>
        <w:tc>
          <w:tcPr>
            <w:tcW w:w="1361" w:type="dxa"/>
            <w:vAlign w:val="bottom"/>
          </w:tcPr>
          <w:bookmarkStart w:id="199" w:name="P199"/>
          <w:bookmarkEnd w:id="199"/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социального характера работникам - всего, тыс руб</w:t>
            </w:r>
          </w:p>
        </w:tc>
        <w:tc>
          <w:tcPr>
            <w:tcW w:w="1361" w:type="dxa"/>
            <w:vAlign w:val="bottom"/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0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на обязательное социальное страхование - всего, тыс руб</w:t>
            </w:r>
          </w:p>
        </w:tc>
        <w:tc>
          <w:tcPr>
            <w:tcW w:w="1361" w:type="dxa"/>
            <w:vAlign w:val="bottom"/>
          </w:tcPr>
          <w:bookmarkStart w:id="205" w:name="P205"/>
          <w:bookmarkEnd w:id="205"/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по видам деятельности, предусмотренным </w:t>
      </w:r>
      <w:hyperlink w:history="0" w:anchor="P65" w:tooltip="Раздел 1. Виды деятельности, которые организация">
        <w:r>
          <w:rPr>
            <w:sz w:val="20"/>
            <w:color w:val="0000ff"/>
          </w:rPr>
          <w:t xml:space="preserve">разделом 1</w:t>
        </w:r>
      </w:hyperlink>
      <w:r>
        <w:rPr>
          <w:sz w:val="20"/>
        </w:rPr>
        <w:t xml:space="preserve"> данной формы.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0"/>
        <w:outlineLvl w:val="1"/>
        <w:jc w:val="center"/>
      </w:pPr>
      <w:r>
        <w:rPr>
          <w:sz w:val="20"/>
        </w:rPr>
        <w:t xml:space="preserve">Раздел 5. </w:t>
      </w:r>
      <w:hyperlink w:history="0" w:anchor="P274" w:tooltip="&lt;1&gt; Заполняется по видам деятельности, предусмотренным разделом 1 данной форм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Наличие, движение и состав основных фондов,</w:t>
      </w:r>
    </w:p>
    <w:p>
      <w:pPr>
        <w:pStyle w:val="0"/>
        <w:jc w:val="center"/>
      </w:pPr>
      <w:r>
        <w:rPr>
          <w:sz w:val="20"/>
        </w:rPr>
        <w:t xml:space="preserve">тысяча рублей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80"/>
        <w:gridCol w:w="642"/>
        <w:gridCol w:w="834"/>
        <w:gridCol w:w="1633"/>
        <w:gridCol w:w="847"/>
        <w:gridCol w:w="795"/>
        <w:gridCol w:w="2461"/>
      </w:tblGrid>
      <w:tr>
        <w:tc>
          <w:tcPr>
            <w:tcW w:w="4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начало года по полной учетной стоимости</w:t>
            </w:r>
          </w:p>
        </w:tc>
        <w:tc>
          <w:tcPr>
            <w:tcW w:w="16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новой стоимости (ввод в действие новых основных фондов, модернизация, реконструкция) за отчетный год</w:t>
            </w:r>
          </w:p>
        </w:tc>
        <w:tc>
          <w:tcPr>
            <w:gridSpan w:val="2"/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конец года</w:t>
            </w:r>
          </w:p>
        </w:tc>
        <w:tc>
          <w:tcPr>
            <w:tcW w:w="24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Справочно: инвестиции в основной капитал (затраты на строительство и реконструкцию объектов, приобретение новых основных средств, а также основных средств, поступивших по импорту)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полной учетной стоимости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остаточной балансовой стоимости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4" w:type="dxa"/>
          </w:tcPr>
          <w:bookmarkStart w:id="224" w:name="P224"/>
          <w:bookmarkEnd w:id="224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33" w:type="dxa"/>
          </w:tcPr>
          <w:bookmarkStart w:id="225" w:name="P225"/>
          <w:bookmarkEnd w:id="225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7" w:type="dxa"/>
          </w:tcPr>
          <w:bookmarkStart w:id="226" w:name="P226"/>
          <w:bookmarkEnd w:id="226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5" w:type="dxa"/>
          </w:tcPr>
          <w:bookmarkStart w:id="227" w:name="P227"/>
          <w:bookmarkEnd w:id="227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61" w:type="dxa"/>
          </w:tcPr>
          <w:bookmarkStart w:id="228" w:name="P228"/>
          <w:bookmarkEnd w:id="228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основных фондов (за исключением земельных участков и объектов природопользования)</w:t>
            </w:r>
          </w:p>
        </w:tc>
        <w:tc>
          <w:tcPr>
            <w:tcW w:w="642" w:type="dxa"/>
            <w:vAlign w:val="bottom"/>
          </w:tcPr>
          <w:bookmarkStart w:id="230" w:name="P230"/>
          <w:bookmarkEnd w:id="230"/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4"/>
            </w:pPr>
            <w:r>
              <w:rPr>
                <w:sz w:val="20"/>
              </w:rPr>
              <w:t xml:space="preserve">здания (жилые и нежилые здания, жилые и нежилые помещения, квартиры)</w:t>
            </w:r>
          </w:p>
        </w:tc>
        <w:tc>
          <w:tcPr>
            <w:tcW w:w="642" w:type="dxa"/>
            <w:vAlign w:val="bottom"/>
          </w:tcPr>
          <w:bookmarkStart w:id="238" w:name="P238"/>
          <w:bookmarkEnd w:id="238"/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сооружения</w:t>
            </w:r>
          </w:p>
        </w:tc>
        <w:tc>
          <w:tcPr>
            <w:tcW w:w="642" w:type="dxa"/>
            <w:vAlign w:val="bottom"/>
          </w:tcPr>
          <w:bookmarkStart w:id="245" w:name="P245"/>
          <w:bookmarkEnd w:id="245"/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машины и оборудование</w:t>
            </w:r>
          </w:p>
        </w:tc>
        <w:tc>
          <w:tcPr>
            <w:tcW w:w="642" w:type="dxa"/>
            <w:vAlign w:val="bottom"/>
          </w:tcPr>
          <w:bookmarkStart w:id="252" w:name="P252"/>
          <w:bookmarkEnd w:id="252"/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8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транспортные средства</w:t>
            </w:r>
          </w:p>
        </w:tc>
        <w:tc>
          <w:tcPr>
            <w:tcW w:w="642" w:type="dxa"/>
            <w:vAlign w:val="bottom"/>
          </w:tcPr>
          <w:bookmarkStart w:id="259" w:name="P259"/>
          <w:bookmarkEnd w:id="259"/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8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80" w:type="dxa"/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другие, не перечисленные выше, виды основных фондов (культивируемые биологические ресурсы, неоднократно дающие продукцию животного и растительного происхождения, хозяйственный инвентарь и прочие)</w:t>
            </w:r>
          </w:p>
        </w:tc>
        <w:tc>
          <w:tcPr>
            <w:tcW w:w="642" w:type="dxa"/>
            <w:vAlign w:val="bottom"/>
          </w:tcPr>
          <w:bookmarkStart w:id="266" w:name="P266"/>
          <w:bookmarkEnd w:id="266"/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по видам деятельности, предусмотренным </w:t>
      </w:r>
      <w:hyperlink w:history="0" w:anchor="P65" w:tooltip="Раздел 1. Виды деятельности, которые организация">
        <w:r>
          <w:rPr>
            <w:sz w:val="20"/>
            <w:color w:val="0000ff"/>
          </w:rPr>
          <w:t xml:space="preserve">разделом 1</w:t>
        </w:r>
      </w:hyperlink>
      <w:r>
        <w:rPr>
          <w:sz w:val="20"/>
        </w:rPr>
        <w:t xml:space="preserve"> данной формы.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5"/>
        <w:gridCol w:w="2325"/>
        <w:gridCol w:w="340"/>
        <w:gridCol w:w="1518"/>
        <w:gridCol w:w="340"/>
        <w:gridCol w:w="1663"/>
        <w:gridCol w:w="340"/>
        <w:gridCol w:w="2152"/>
      </w:tblGrid>
      <w:t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E-mail: 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 20__ год</w:t>
            </w:r>
          </w:p>
        </w:tc>
      </w:tr>
      <w:t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Указания</w:t>
      </w:r>
    </w:p>
    <w:p>
      <w:pPr>
        <w:pStyle w:val="0"/>
        <w:jc w:val="center"/>
      </w:pPr>
      <w:r>
        <w:rPr>
          <w:sz w:val="20"/>
        </w:rPr>
        <w:t xml:space="preserve">по заполнению формы федерального статистического наблюдения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Первичные статистические данные (далее - данные) по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 N 1-СОНКО(Р) "Сведения о деятельности религиозной организации" (далее - форма) предоставляют юридические лица - некоммерческие организации, являющиеся религиозными.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Русской Православной Церкви отчитываются епархии. Епархии Русской Православной Церкви включают в свою отчетность сводную информацию всех канонических подразделений, входящих в их состав. Религиозные организации, применяющие упрощенную систему налогообложения, предоставляют данные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Юридическое лицо заполняет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и предоставляет ее в территориальный орган Росстата по месту своего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2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статье 54</w:t>
        </w:r>
      </w:hyperlink>
      <w:r>
        <w:rPr>
          <w:sz w:val="20"/>
        </w:rPr>
        <w:t xml:space="preserve"> Гражданского кодекса Российской Федерации место нахождения юридического лица определяется местом его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юридического лица обособленных подразделений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заполняется в целом по юридическому лицу с учетом данных обособленных подразделений &lt;1&gt; (в том числе осуществляющих деятельность за пределами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w:history="0" r:id="rId13" w:tooltip="&quot;Налоговый кодекс Российской Федерации (часть первая)&quot; от 31.07.1998 N 146-ФЗ (ред. от 28.06.2022) (с изм. и доп., вступ. в силу с 23.09.2022) {КонсультантПлюс}">
        <w:r>
          <w:rPr>
            <w:sz w:val="20"/>
            <w:color w:val="0000ff"/>
          </w:rPr>
          <w:t xml:space="preserve">пункт 2 статьи 11</w:t>
        </w:r>
      </w:hyperlink>
      <w:r>
        <w:rPr>
          <w:sz w:val="20"/>
        </w:rPr>
        <w:t xml:space="preserve"> Налогового кодекса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Руководитель юридического лица назначает должностных лиц, уполномоченных предоставлять данные от имени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адресной </w:t>
      </w:r>
      <w:hyperlink w:history="0" w:anchor="P49" w:tooltip="Наименование отчитывающейся организации _________________________________">
        <w:r>
          <w:rPr>
            <w:sz w:val="20"/>
            <w:color w:val="0000ff"/>
          </w:rPr>
          <w:t xml:space="preserve">части</w:t>
        </w:r>
      </w:hyperlink>
      <w:r>
        <w:rPr>
          <w:sz w:val="20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50" w:tooltip="Почтовый адрес ______________________________________________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кодовой </w:t>
      </w:r>
      <w:hyperlink w:history="0" w:anchor="P51" w:tooltip="Код формы по ОКУД">
        <w:r>
          <w:rPr>
            <w:sz w:val="20"/>
            <w:color w:val="0000ff"/>
          </w:rPr>
          <w:t xml:space="preserve">части</w:t>
        </w:r>
      </w:hyperlink>
      <w:r>
        <w:rPr>
          <w:sz w:val="20"/>
        </w:rPr>
        <w:t xml:space="preserve">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</w:t>
      </w:r>
      <w:r>
        <w:rPr>
          <w:sz w:val="20"/>
        </w:rPr>
        <w:t xml:space="preserve">https://websbor.gks.ru/online/info</w:t>
      </w:r>
      <w:r>
        <w:rPr>
          <w:sz w:val="20"/>
        </w:rPr>
        <w:t xml:space="preserve">, отчитывающаяся организация проставляет код по Общероссийскому классификатору предприятий и организаций (ОКПО).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Религиозные организации заполняют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на основе первичных учетных документов, сметы доходов и расходов, документов бухгалтерского, налогового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отсутствии наблюдаемого по форме явления за отчетный период необходимо направить подписанный в установленном порядке отчет по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не заполненный значениями показателей ("пустой" отчет по форме). Во всех представляемых отчетах такого вида должен заполняться исключительно титульный раздел </w:t>
      </w:r>
      <w:hyperlink w:history="0" w:anchor="P31" w:tooltip="СВЕДЕНИЯ О ДЕЯТЕЛЬНОСТИ РЕЛИГИОЗНОЙ ОРГАНИЗАЦИИ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, а в остальных разделах не должно указываться никаких значений данных, в том числе нулевых и прочерков.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w:anchor="P98" w:tooltip="Раздел 2. Источники и объемы формирования денежных средств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"Источники и объемы формирования денежных средств и иного имущества организации" указываются денежные средства и иное имущество (стоимость, по которой оно принято на баланс), полученные религиозной организацией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08" w:tooltip="40">
        <w:r>
          <w:rPr>
            <w:sz w:val="20"/>
            <w:color w:val="0000ff"/>
          </w:rPr>
          <w:t xml:space="preserve">строках 40</w:t>
        </w:r>
      </w:hyperlink>
      <w:r>
        <w:rPr>
          <w:sz w:val="20"/>
        </w:rPr>
        <w:t xml:space="preserve">, </w:t>
      </w:r>
      <w:hyperlink w:history="0" w:anchor="P114" w:tooltip="42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 - </w:t>
      </w:r>
      <w:hyperlink w:history="0" w:anchor="P120" w:tooltip="44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указываются данные о целевых средствах, полученных религиозными организациями из федерального бюджета, бюджетов субъектов Российской Федерации, местных бюджетов,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11" w:tooltip="41">
        <w:r>
          <w:rPr>
            <w:sz w:val="20"/>
            <w:color w:val="0000ff"/>
          </w:rPr>
          <w:t xml:space="preserve">строке 41</w:t>
        </w:r>
      </w:hyperlink>
      <w:r>
        <w:rPr>
          <w:sz w:val="20"/>
        </w:rPr>
        <w:t xml:space="preserve"> указываются данные о грантах, полученных от Фонда президентских грантов за счет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Грантами в соответствии с </w:t>
      </w:r>
      <w:hyperlink w:history="0" r:id="rId14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подпунктом 14 пункта 1 статьи 251</w:t>
        </w:r>
      </w:hyperlink>
      <w:r>
        <w:rPr>
          <w:sz w:val="20"/>
        </w:rPr>
        <w:t xml:space="preserve"> Налогового кодекса Российской Федерации признаются денежные средства или иное имущество в случае, если их передача (получение) удовлетворяет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граждан, а в случае предоставления грантов Президента Российской Федерации - на осуществление деятельности (программ, проектов), определенной актами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на условиях, определяемых грантодателем, с обязательным предоставлением грантодателю отчета о целевом использовании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Строки с </w:t>
      </w:r>
      <w:hyperlink w:history="0" w:anchor="P123" w:tooltip="45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по </w:t>
      </w:r>
      <w:hyperlink w:history="0" w:anchor="P142" w:tooltip="51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заполняют религиозные организации, получившие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history="0" w:anchor="P123" w:tooltip="45">
        <w:r>
          <w:rPr>
            <w:sz w:val="20"/>
            <w:color w:val="0000ff"/>
          </w:rPr>
          <w:t xml:space="preserve">строки 45</w:t>
        </w:r>
      </w:hyperlink>
      <w:r>
        <w:rPr>
          <w:sz w:val="20"/>
        </w:rPr>
        <w:t xml:space="preserve"> - </w:t>
      </w:r>
      <w:hyperlink w:history="0" w:anchor="P142" w:tooltip="51">
        <w:r>
          <w:rPr>
            <w:sz w:val="20"/>
            <w:color w:val="0000ff"/>
          </w:rPr>
          <w:t xml:space="preserve">51 раздела 2</w:t>
        </w:r>
      </w:hyperlink>
      <w:r>
        <w:rPr>
          <w:sz w:val="20"/>
        </w:rPr>
        <w:t xml:space="preserve"> не заполняются.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23" w:tooltip="45">
        <w:r>
          <w:rPr>
            <w:sz w:val="20"/>
            <w:color w:val="0000ff"/>
          </w:rPr>
          <w:t xml:space="preserve">строке 45</w:t>
        </w:r>
      </w:hyperlink>
      <w:r>
        <w:rPr>
          <w:sz w:val="20"/>
        </w:rPr>
        <w:t xml:space="preserve"> указываются данные о пожертвованиях, добровольных взносах, включая имущественные, и иных целевых поступлениях, грантах, поступивших безвозмездно в виде гуманитарной помощи и других безвозмездных поступлений. Пожертвованием согласно </w:t>
      </w:r>
      <w:hyperlink w:history="0" r:id="rId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статье 582</w:t>
        </w:r>
      </w:hyperlink>
      <w:r>
        <w:rPr>
          <w:sz w:val="20"/>
        </w:rPr>
        <w:t xml:space="preserve"> Гражданского кодекса Российской Федерации признается дарение вещи или права в общеполезных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0" w:tooltip="47">
        <w:r>
          <w:rPr>
            <w:sz w:val="20"/>
            <w:color w:val="0000ff"/>
          </w:rPr>
          <w:t xml:space="preserve">строке 47</w:t>
        </w:r>
      </w:hyperlink>
      <w:r>
        <w:rPr>
          <w:sz w:val="20"/>
        </w:rPr>
        <w:t xml:space="preserve"> указываются данные о денежных средствах или ином имуществе, полученном из-за рубежа от юридических и физических лиц, а также грантах, технической помощи от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</w:t>
      </w:r>
      <w:hyperlink w:history="0" w:anchor="P139" w:tooltip="50">
        <w:r>
          <w:rPr>
            <w:sz w:val="20"/>
            <w:color w:val="0000ff"/>
          </w:rPr>
          <w:t xml:space="preserve">строки 50</w:t>
        </w:r>
      </w:hyperlink>
      <w:r>
        <w:rPr>
          <w:sz w:val="20"/>
        </w:rPr>
        <w:t xml:space="preserve"> следует руководствоваться следующим. В соответствии со </w:t>
      </w:r>
      <w:hyperlink w:history="0" r:id="rId1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17" w:tooltip="Федеральный закон от 26.09.1997 N 125-ФЗ (ред. от 11.06.2021) &quot;О свободе совести и о религиозных объединениях&quot; (с изм. и доп., вступ. в силу с 03.10.2021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Федерального закона от 26 сентября 1997 г. N 125-ФЗ "О свободе совести и о религиозных объединениях" религиозная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Некоммерческая организация ведет учет доходов и расходов по предпринимательской и иной приносящей доходы деятельности.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инфина России от 06.05.1999 N 32н (ред. от 27.11.2020) &quot;Об утверждении Положения по бухгалтерскому учету &quot;Доходы организации&quot; ПБУ 9/99&quot; (Зарегистрировано в Минюсте России 31.05.1999 N 179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по бухгалтерскому учету "Доходы организации" ПБУ 9/99, утвержденным приказом Минфина России от 6 мая 1999 г. N 32н (зарегистрирован Минюстом России 31 мая 1999 г., регистрационный N 1791) (далее - Положение по бухгалтерскому учету "Доходы организации" ПБУ 9/99) установлено, что не признаются доходами организации поступления: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 налога на добавленную стоимость, акцизов, налога с продаж, экспортных пошлин и иных аналогичных обязательных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договорам комиссии, агентским и иным аналогичным договорам в пользу комитента, принципала и тому подобных;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предварительной оплаты продукции,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 в счет оплаты продукции,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залог, если договором предусмотрена передача заложенного имущества залогодержателю;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погашение кредита, займа, предоставленного заемщику.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фина России от 06.05.1999 N 32н (ред. от 27.11.2020) &quot;Об утверждении Положения по бухгалтерскому учету &quot;Доходы организации&quot; ПБУ 9/99&quot; (Зарегистрировано в Минюсте России 31.05.1999 N 179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по бухгалтерскому учету "Доходы организации" ПБУ 9/99 установлено, что к доходам относятся выручка от продажи продукции и товаров, поступления, связанные с выполнением работ, оказанием услуг; поступления, связанные с предоставлением за плату во временное пользование (временное владение и пользование) активов организации; 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 поступления, связанные с участием в уставных капиталах других организаций (включая проценты и иные доходы по ценным бумагам); прибыль, полученная организацией в результате совместной деятельности (по договору простого товарищества); поступления от продажи основных средств и иных активов, отличных от денежных средств (кроме иностранной валюты); 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 штрафы, пени, неустойки за нарушение условий договоров; активы, полученные безвозмездно, в том числе по договору дарения; поступления в возмещение причиненных организации убытков; прибыль прошлых лет, выявленная в отчетном году; суммы кредиторской и депонентской задолженности, по которым истек срок исковой давности; курсовые разницы; сумма дооценки активов; прочие доходы.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42" w:tooltip="51">
        <w:r>
          <w:rPr>
            <w:sz w:val="20"/>
            <w:color w:val="0000ff"/>
          </w:rPr>
          <w:t xml:space="preserve">строке 51</w:t>
        </w:r>
      </w:hyperlink>
      <w:r>
        <w:rPr>
          <w:sz w:val="20"/>
        </w:rPr>
        <w:t xml:space="preserve"> указываются данные об иных поступлениях, не отраженных в </w:t>
      </w:r>
      <w:hyperlink w:history="0" w:anchor="P108" w:tooltip="40">
        <w:r>
          <w:rPr>
            <w:sz w:val="20"/>
            <w:color w:val="0000ff"/>
          </w:rPr>
          <w:t xml:space="preserve">строках 40</w:t>
        </w:r>
      </w:hyperlink>
      <w:r>
        <w:rPr>
          <w:sz w:val="20"/>
        </w:rPr>
        <w:t xml:space="preserve"> - </w:t>
      </w:r>
      <w:hyperlink w:history="0" w:anchor="P139" w:tooltip="50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, в частности, возврат займов, предоставленных другим лицам; средства, формирующие в соответствии с Жилищным </w:t>
      </w:r>
      <w:hyperlink w:history="0" r:id="rId20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фонд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w:anchor="P148" w:tooltip="Раздел 3. Использование денежных средств и иного имущества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"Использование денежных средств и иного имущества религиозной организацией, получившей денежные средства и иное имущество от международных иностранных организаций, иностранных граждан и лиц без гражданства" указываются расходы религиозной организации за счет источников, указанных в </w:t>
      </w:r>
      <w:hyperlink w:history="0" w:anchor="P98" w:tooltip="Раздел 2. Источники и объемы формирования денежных средств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history="0" w:anchor="P148" w:tooltip="Раздел 3. Использование денежных средств и иного имущества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не заполняется.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60" w:tooltip="52">
        <w:r>
          <w:rPr>
            <w:sz w:val="20"/>
            <w:color w:val="0000ff"/>
          </w:rPr>
          <w:t xml:space="preserve">строке 52</w:t>
        </w:r>
      </w:hyperlink>
      <w:r>
        <w:rPr>
          <w:sz w:val="20"/>
        </w:rPr>
        <w:t xml:space="preserve"> указываются данные о расходах по видам деятельности, определенным как основные в соответствии с </w:t>
      </w:r>
      <w:hyperlink w:history="0" r:id="rId21" w:tooltip="Приказ Минюста России от 30.09.2021 N 185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{КонсультантПлюс}">
        <w:r>
          <w:rPr>
            <w:sz w:val="20"/>
            <w:color w:val="0000ff"/>
          </w:rPr>
          <w:t xml:space="preserve">формой N ОР0001</w:t>
        </w:r>
      </w:hyperlink>
      <w:r>
        <w:rPr>
          <w:sz w:val="20"/>
        </w:rPr>
        <w:t xml:space="preserve"> отчета, утвержденного приказом Минюста России от 30 сентября 2021 г. N 185 "О формах и сроках представления в Министерство юстиции Российской Федерации отчетности некоммерческих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63" w:tooltip="53">
        <w:r>
          <w:rPr>
            <w:sz w:val="20"/>
            <w:color w:val="0000ff"/>
          </w:rPr>
          <w:t xml:space="preserve">строке 53</w:t>
        </w:r>
      </w:hyperlink>
      <w:r>
        <w:rPr>
          <w:sz w:val="20"/>
        </w:rPr>
        <w:t xml:space="preserve"> указываются данные о расходах на социальную и благотворительную помощь в виде пособий, взносов, финансирования соответствующих программ, а также расходах на приобретение товаров, оплату услуг, которые предоставляются юридическим и физическим лицам в натуральной форме путем безвозмездной передачи в собственность продуктов, одежды, лекарственных препаратов, медицинских изделий, технических средств реабилитации и (или) иных вещей.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w:anchor="P175" w:tooltip="Раздел 4. &lt;1&gt; Численность, начисленная заработная плата,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"Численность, начисленная заработная плата, выплаты социального характера и страховые взносы на обязательное социальное страхование" сведения о занятых в осуществлении религиозной деятельности не отражаются.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86" w:tooltip="60">
        <w:r>
          <w:rPr>
            <w:sz w:val="20"/>
            <w:color w:val="0000ff"/>
          </w:rPr>
          <w:t xml:space="preserve">строке 60</w:t>
        </w:r>
      </w:hyperlink>
      <w:r>
        <w:rPr>
          <w:sz w:val="20"/>
        </w:rPr>
        <w:t xml:space="preserve"> указываются данные о среднесписочной численности работников (без внешних совместителей и работников несписочного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189" w:tooltip="61">
        <w:r>
          <w:rPr>
            <w:sz w:val="20"/>
            <w:color w:val="0000ff"/>
          </w:rPr>
          <w:t xml:space="preserve">строке 61</w:t>
        </w:r>
      </w:hyperlink>
      <w:r>
        <w:rPr>
          <w:sz w:val="20"/>
        </w:rPr>
        <w:t xml:space="preserve">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02" w:tooltip="65">
        <w:r>
          <w:rPr>
            <w:sz w:val="20"/>
            <w:color w:val="0000ff"/>
          </w:rPr>
          <w:t xml:space="preserve">строке 65</w:t>
        </w:r>
      </w:hyperlink>
      <w:r>
        <w:rPr>
          <w:sz w:val="20"/>
        </w:rPr>
        <w:t xml:space="preserve"> указываются данные о выплатах социального характера всех работников, которые включают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Подробные методологические указания по заполнению </w:t>
      </w:r>
      <w:hyperlink w:history="0" w:anchor="P186" w:tooltip="60">
        <w:r>
          <w:rPr>
            <w:sz w:val="20"/>
            <w:color w:val="0000ff"/>
          </w:rPr>
          <w:t xml:space="preserve">строк 60</w:t>
        </w:r>
      </w:hyperlink>
      <w:r>
        <w:rPr>
          <w:sz w:val="20"/>
        </w:rPr>
        <w:t xml:space="preserve">-</w:t>
      </w:r>
      <w:hyperlink w:history="0" w:anchor="P202" w:tooltip="65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 формы изложены в </w:t>
      </w:r>
      <w:hyperlink w:history="0" r:id="rId22" w:tooltip="Приказ Росстата от 24.11.2021 N 832 (ред. от 05.04.2022) &quot;Об утверждении Указаний по заполнению форм федерального статистического наблюдения N П-1 &quot;Сведения о производстве и отгрузке товаров и услуг&quot;, N П-2 &quot;Сведения об инвестициях в нефинансовые активы&quot;, N П-3 &quot;Сведения о финансовом состоянии организации&quot;, N П-4 &quot;Сведения о численности и заработной плате работников&quot;, N П-5(м) &quot;Основные сведения о деятельности организации&quot; {КонсультантПлюс}">
        <w:r>
          <w:rPr>
            <w:sz w:val="20"/>
            <w:color w:val="0000ff"/>
          </w:rPr>
          <w:t xml:space="preserve">Указаниях</w:t>
        </w:r>
      </w:hyperlink>
      <w:r>
        <w:rPr>
          <w:sz w:val="20"/>
        </w:rP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размещенных на официальном сайте Росстата в информационно-телекоммуникационной сети "Интернет" по адресу: </w:t>
      </w:r>
      <w:r>
        <w:rPr>
          <w:sz w:val="20"/>
        </w:rPr>
        <w:t xml:space="preserve">https://rosstat.gov.ru/</w:t>
      </w:r>
      <w:r>
        <w:rPr>
          <w:sz w:val="20"/>
        </w:rPr>
        <w:t xml:space="preserve">Главная страница/Респондентам/Формы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наблюдения/Поиск по формам/2022/П-4.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05" w:tooltip="66">
        <w:r>
          <w:rPr>
            <w:sz w:val="20"/>
            <w:color w:val="0000ff"/>
          </w:rPr>
          <w:t xml:space="preserve">строке 66</w:t>
        </w:r>
      </w:hyperlink>
      <w:r>
        <w:rPr>
          <w:sz w:val="20"/>
        </w:rPr>
        <w:t xml:space="preserve"> указываются данные о страховых и других взносах на обязательное пенсионное страхование; страховых взносах на обязательное социальное страхование на случай временной нетрудоспособности и в связи с материнством и детством; страховых взносах на обязательное медицинское страхование работающего населения; страховых взносах на обязательное страхование от несчастных случаев на производстве и профзаболеваний работников (включая работников списочного состава (без внешних совместителей), внешних совместителей, выполнявших работы по договорам гражданско-правового характера).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w:anchor="P211" w:tooltip="Раздел 5. &lt;1&gt; Наличие, движение и состав основных фондов,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"Наличие, движение и состав основных фондов" по </w:t>
      </w:r>
      <w:hyperlink w:history="0" w:anchor="P230" w:tooltip="70">
        <w:r>
          <w:rPr>
            <w:sz w:val="20"/>
            <w:color w:val="0000ff"/>
          </w:rPr>
          <w:t xml:space="preserve">строкам 70</w:t>
        </w:r>
      </w:hyperlink>
      <w:r>
        <w:rPr>
          <w:sz w:val="20"/>
        </w:rPr>
        <w:t xml:space="preserve"> - </w:t>
      </w:r>
      <w:hyperlink w:history="0" w:anchor="P266" w:tooltip="75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отражаются данные о наличии, движении и составе основных фондов. Состав основных фондов определен Общероссийским </w:t>
      </w:r>
      <w:hyperlink w:history="0" r:id="rId23" w:tooltip="&quot;ОК 013-2014 (СНС 2008). Общероссийский классификатор основных фондов&quot; (принят и введен в действие Приказом Росстандарта от 12.12.2014 N 2018-ст) (ред. от 30.08.202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основных фондов (ОКОФ) ОК 013-2014 (СНС 2008), введенным в действие с 1 января 2017 г. </w:t>
      </w:r>
      <w:hyperlink w:history="0" r:id="rId24" w:tooltip="Приказ Росстандарта от 12.12.2014 N 2018-ст (ред. от 10.11.2015) &quot;О принятии и введении в действие Общероссийского классификатора основных фондов (ОКОФ) ОК 013-2014 (СНС 2008)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12 декабря 2014 г. N 2018-ст.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24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 указываются данные о наличии основных фондов на начало года по полной учетной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25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 указываются данные об увеличении полной учетной стоимости основных фондов за отчетный год за счет создания новой стоимости, то есть принятия к бухгалтерскому учету в отчетном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ввода в действие новых объектов основных фондов (не относившихся ранее к основным фондам) при их приобретении, сооружении и изготовлении;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учредителями новых основных фондов в счет их вкладов в уставный (складочный) капитал;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по договору дарения и иных случаях безвозмездного получения; при других поступлениях;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достройки, модернизации, реконструкции имеющихся объектов основных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26" w:tooltip="5">
        <w:r>
          <w:rPr>
            <w:sz w:val="20"/>
            <w:color w:val="0000ff"/>
          </w:rPr>
          <w:t xml:space="preserve">графе 5</w:t>
        </w:r>
      </w:hyperlink>
      <w:r>
        <w:rPr>
          <w:sz w:val="20"/>
        </w:rPr>
        <w:t xml:space="preserve"> учитывается наличие основных фондов на конец года по полной учетной стоимости, в </w:t>
      </w:r>
      <w:hyperlink w:history="0" w:anchor="P227" w:tooltip="6">
        <w:r>
          <w:rPr>
            <w:sz w:val="20"/>
            <w:color w:val="0000ff"/>
          </w:rPr>
          <w:t xml:space="preserve">графе 6</w:t>
        </w:r>
      </w:hyperlink>
      <w:r>
        <w:rPr>
          <w:sz w:val="20"/>
        </w:rPr>
        <w:t xml:space="preserve"> - по остаточной балансовой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28" w:tooltip="7">
        <w:r>
          <w:rPr>
            <w:sz w:val="20"/>
            <w:color w:val="0000ff"/>
          </w:rPr>
          <w:t xml:space="preserve">графе 7</w:t>
        </w:r>
      </w:hyperlink>
      <w:r>
        <w:rPr>
          <w:sz w:val="20"/>
        </w:rPr>
        <w:t xml:space="preserve"> указываются данные об инвестициях в основной капитал: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собственности; культивируемые биологические ресурсы. По данной </w:t>
      </w:r>
      <w:hyperlink w:history="0" w:anchor="P228" w:tooltip="7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также отражаются затраты на приобретение поступивших по импорту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стоимость, измененная в ходе проведенных переоценок основных фондов и в других случаях, предусмотренных действующими нормативными актами по учету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переоценки, то есть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ее изменения в результате достройки, дооборудования, реконструкции и частичной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остаточной балансовой стоимостью понимается разница их полной учетной стоимости и величины учетного износа, начисленного за весь период с начала эксплуатации соответствующих объектов, с учетом их изменения в результате проведенных переоценок основных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30" w:tooltip="70">
        <w:r>
          <w:rPr>
            <w:sz w:val="20"/>
            <w:color w:val="0000ff"/>
          </w:rPr>
          <w:t xml:space="preserve">строке 70</w:t>
        </w:r>
      </w:hyperlink>
      <w:r>
        <w:rPr>
          <w:sz w:val="20"/>
        </w:rPr>
        <w:t xml:space="preserve"> указываются данные о всех основных фондах (за исключением земельных участков и объектов природопользования) организации, кроме незавершенных активов, находящиеся у нее на правах собственности, хозяйственного ведения, оперативного управления, договора аренды, договора финансовой аренды, и учитываемые ею на счетах учета основных средств, а также объекты интеллектуальной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38" w:tooltip="71">
        <w:r>
          <w:rPr>
            <w:sz w:val="20"/>
            <w:color w:val="0000ff"/>
          </w:rPr>
          <w:t xml:space="preserve">строкам 71</w:t>
        </w:r>
      </w:hyperlink>
      <w:r>
        <w:rPr>
          <w:sz w:val="20"/>
        </w:rPr>
        <w:t xml:space="preserve"> - </w:t>
      </w:r>
      <w:hyperlink w:history="0" w:anchor="P266" w:tooltip="75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все основные фонды организации распределяются по видовой структуре согласно </w:t>
      </w:r>
      <w:hyperlink w:history="0" r:id="rId25" w:tooltip="&quot;ОК 013-2014 (СНС 2008). Общероссийский классификатор основных фондов&quot; (принят и введен в действие Приказом Росстандарта от 12.12.2014 N 2018-ст) (ред. от 30.08.2022) {КонсультантПлюс}">
        <w:r>
          <w:rPr>
            <w:sz w:val="20"/>
            <w:color w:val="0000ff"/>
          </w:rPr>
          <w:t xml:space="preserve">ОКОФ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 жилым и нежилым зданиям учитываются по </w:t>
      </w:r>
      <w:hyperlink w:history="0" w:anchor="P238" w:tooltip="71">
        <w:r>
          <w:rPr>
            <w:sz w:val="20"/>
            <w:color w:val="0000ff"/>
          </w:rPr>
          <w:t xml:space="preserve">строке 71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Здания, учитываемые в составе основных фондов, имеют в качестве основных конструктивных частей стены и крышу. Определение жилых и нежилых зданий, как и других видов основных фондов, приведено во введении к </w:t>
      </w:r>
      <w:hyperlink w:history="0" r:id="rId26" w:tooltip="&quot;ОК 013-2014 (СНС 2008). Общероссийский классификатор основных фондов&quot; (принят и введен в действие Приказом Росстандарта от 12.12.2014 N 2018-ст) (ред. от 30.08.2022) {КонсультантПлюс}">
        <w:r>
          <w:rPr>
            <w:sz w:val="20"/>
            <w:color w:val="0000ff"/>
          </w:rPr>
          <w:t xml:space="preserve">ОКОФ</w:t>
        </w:r>
      </w:hyperlink>
      <w:r>
        <w:rPr>
          <w:sz w:val="20"/>
        </w:rPr>
        <w:t xml:space="preserve">. Помимо жилых и нежилых зданий по </w:t>
      </w:r>
      <w:hyperlink w:history="0" w:anchor="P238" w:tooltip="71">
        <w:r>
          <w:rPr>
            <w:sz w:val="20"/>
            <w:color w:val="0000ff"/>
          </w:rPr>
          <w:t xml:space="preserve">строке 71</w:t>
        </w:r>
      </w:hyperlink>
      <w:r>
        <w:rPr>
          <w:sz w:val="20"/>
        </w:rPr>
        <w:t xml:space="preserve"> отражаются жилые и нежилые помещения, а также квартиры. При этом здания церквей, монастырей относятся к нежилым зданиям.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 сооружениям учитываются по </w:t>
      </w:r>
      <w:hyperlink w:history="0" w:anchor="P245" w:tooltip="72">
        <w:r>
          <w:rPr>
            <w:sz w:val="20"/>
            <w:color w:val="0000ff"/>
          </w:rPr>
          <w:t xml:space="preserve">строке 72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Примерами сооружений могут служить такие объекты, как автомобильные, железные дороги, плотины и другие гидротехнические сооружения; линии связи и электропередачи; местные трубопроводы и сооружения для отдыха, развлечений и проведения досуга.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Сооружения являются объектами, прочно связанными с землей. Например, различного рода емкости для хранения различного рода веществ, установленные на фундаменты или иным способом прочно связанные с землей, относятся к сооружениям. Фундаменты под ними входят в состав данных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52" w:tooltip="73">
        <w:r>
          <w:rPr>
            <w:sz w:val="20"/>
            <w:color w:val="0000ff"/>
          </w:rPr>
          <w:t xml:space="preserve">строке 73</w:t>
        </w:r>
      </w:hyperlink>
      <w:r>
        <w:rPr>
          <w:sz w:val="20"/>
        </w:rPr>
        <w:t xml:space="preserve"> учитываются машины и оборудование, включая относящееся к оборудованию для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59" w:tooltip="74">
        <w:r>
          <w:rPr>
            <w:sz w:val="20"/>
            <w:color w:val="0000ff"/>
          </w:rPr>
          <w:t xml:space="preserve">строке 74</w:t>
        </w:r>
      </w:hyperlink>
      <w:r>
        <w:rPr>
          <w:sz w:val="20"/>
        </w:rPr>
        <w:t xml:space="preserve"> учитываются транспортные средства, к которым, в соответствии с </w:t>
      </w:r>
      <w:hyperlink w:history="0" r:id="rId27" w:tooltip="&quot;ОК 013-2014 (СНС 2008). Общероссийский классификатор основных фондов&quot; (принят и введен в действие Приказом Росстандарта от 12.12.2014 N 2018-ст) (ред. от 30.08.2022) {КонсультантПлюс}">
        <w:r>
          <w:rPr>
            <w:sz w:val="20"/>
            <w:color w:val="0000ff"/>
          </w:rPr>
          <w:t xml:space="preserve">ОКОФ</w:t>
        </w:r>
      </w:hyperlink>
      <w:r>
        <w:rPr>
          <w:sz w:val="20"/>
        </w:rPr>
        <w:t xml:space="preserve">, относятся средства передвижения, предназначенные для перемещения людей и грузов: грузовые, легковые автомобили, тракторы, прицепы и полуприцепы, автобусы, локомотивы, вагоны, суда и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66" w:tooltip="75">
        <w:r>
          <w:rPr>
            <w:sz w:val="20"/>
            <w:color w:val="0000ff"/>
          </w:rPr>
          <w:t xml:space="preserve">строке 75</w:t>
        </w:r>
      </w:hyperlink>
      <w:r>
        <w:rPr>
          <w:sz w:val="20"/>
        </w:rPr>
        <w:t xml:space="preserve"> учитываются другие, не перечисленные в </w:t>
      </w:r>
      <w:hyperlink w:history="0" w:anchor="P238" w:tooltip="71">
        <w:r>
          <w:rPr>
            <w:sz w:val="20"/>
            <w:color w:val="0000ff"/>
          </w:rPr>
          <w:t xml:space="preserve">строках 71</w:t>
        </w:r>
      </w:hyperlink>
      <w:r>
        <w:rPr>
          <w:sz w:val="20"/>
        </w:rPr>
        <w:t xml:space="preserve"> - </w:t>
      </w:r>
      <w:hyperlink w:history="0" w:anchor="P259" w:tooltip="74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, виды основных фондов. К ним относятся культивируемые биологические ресурсы, неоднократно дающие продукцию животного и растительного происхождения, объекты, относящиеся к интеллектуальной собственности и результатам интеллектуальной деятельности, расходы на улучшение и передачу прав на землю, хозяйственный инвентарь и прочие.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Контроль показателей формы: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9"/>
        <w:gridCol w:w="4520"/>
      </w:tblGrid>
      <w:tr>
        <w:tc>
          <w:tcPr>
            <w:tcW w:w="45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если заполнены стр. с </w:t>
            </w:r>
            <w:hyperlink w:history="0" w:anchor="P186" w:tooltip="60">
              <w:r>
                <w:rPr>
                  <w:sz w:val="20"/>
                  <w:color w:val="0000ff"/>
                </w:rPr>
                <w:t xml:space="preserve">60</w:t>
              </w:r>
            </w:hyperlink>
            <w:r>
              <w:rPr>
                <w:sz w:val="20"/>
              </w:rPr>
              <w:t xml:space="preserve"> по </w:t>
            </w:r>
            <w:hyperlink w:history="0" w:anchor="P205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 гр. 3 или стр. с </w:t>
            </w:r>
            <w:hyperlink w:history="0" w:anchor="P230" w:tooltip="70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 по </w:t>
            </w:r>
            <w:hyperlink w:history="0" w:anchor="P266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3, 4, 5, 6, 7, то должна быть обведена хотя бы одна строка с </w:t>
            </w:r>
            <w:hyperlink w:history="0" w:anchor="P74" w:tooltip="01">
              <w:r>
                <w:rPr>
                  <w:sz w:val="20"/>
                  <w:color w:val="0000ff"/>
                </w:rPr>
                <w:t xml:space="preserve">01</w:t>
              </w:r>
            </w:hyperlink>
            <w:r>
              <w:rPr>
                <w:sz w:val="20"/>
              </w:rPr>
              <w:t xml:space="preserve"> по </w:t>
            </w:r>
            <w:hyperlink w:history="0" w:anchor="P96" w:tooltip="31">
              <w:r>
                <w:rPr>
                  <w:sz w:val="20"/>
                  <w:color w:val="0000ff"/>
                </w:rPr>
                <w:t xml:space="preserve">31</w:t>
              </w:r>
            </w:hyperlink>
          </w:p>
        </w:tc>
        <w:tc>
          <w:tcPr>
            <w:tcW w:w="4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</w:t>
            </w:r>
            <w:hyperlink w:history="0" w:anchor="P189" w:tooltip="61">
              <w:r>
                <w:rPr>
                  <w:sz w:val="20"/>
                  <w:color w:val="0000ff"/>
                </w:rPr>
                <w:t xml:space="preserve">стр. 61</w:t>
              </w:r>
            </w:hyperlink>
            <w:r>
              <w:rPr>
                <w:sz w:val="20"/>
              </w:rPr>
              <w:t xml:space="preserve"> гр. 3 = сумме стр. с </w:t>
            </w:r>
            <w:hyperlink w:history="0" w:anchor="P193" w:tooltip="62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 по </w:t>
            </w:r>
            <w:hyperlink w:history="0" w:anchor="P199" w:tooltip="64">
              <w:r>
                <w:rPr>
                  <w:sz w:val="20"/>
                  <w:color w:val="0000ff"/>
                </w:rPr>
                <w:t xml:space="preserve">64</w:t>
              </w:r>
            </w:hyperlink>
            <w:r>
              <w:rPr>
                <w:sz w:val="20"/>
              </w:rPr>
              <w:t xml:space="preserve"> гр. 3</w:t>
            </w:r>
          </w:p>
        </w:tc>
      </w:tr>
      <w:tr>
        <w:tc>
          <w:tcPr>
            <w:tcW w:w="45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w:anchor="P123" w:tooltip="45">
              <w:r>
                <w:rPr>
                  <w:sz w:val="20"/>
                  <w:color w:val="0000ff"/>
                </w:rPr>
                <w:t xml:space="preserve">стр. 45</w:t>
              </w:r>
            </w:hyperlink>
            <w:r>
              <w:rPr>
                <w:sz w:val="20"/>
              </w:rPr>
              <w:t xml:space="preserve"> гр. 3 = сумме стр. с </w:t>
            </w:r>
            <w:hyperlink w:history="0" w:anchor="P127" w:tooltip="46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 по </w:t>
            </w:r>
            <w:hyperlink w:history="0" w:anchor="P136" w:tooltip="49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</w:t>
            </w:r>
            <w:hyperlink w:history="0" w:anchor="P230" w:tooltip="70">
              <w:r>
                <w:rPr>
                  <w:sz w:val="20"/>
                  <w:color w:val="0000ff"/>
                </w:rPr>
                <w:t xml:space="preserve">стр. 70</w:t>
              </w:r>
            </w:hyperlink>
            <w:r>
              <w:rPr>
                <w:sz w:val="20"/>
              </w:rPr>
              <w:t xml:space="preserve"> гр. 3, 4, 5, 6, 7 = сумме стр. с </w:t>
            </w:r>
            <w:hyperlink w:history="0" w:anchor="P238" w:tooltip="71">
              <w:r>
                <w:rPr>
                  <w:sz w:val="20"/>
                  <w:color w:val="0000ff"/>
                </w:rPr>
                <w:t xml:space="preserve">71</w:t>
              </w:r>
            </w:hyperlink>
            <w:r>
              <w:rPr>
                <w:sz w:val="20"/>
              </w:rPr>
              <w:t xml:space="preserve"> по </w:t>
            </w:r>
            <w:hyperlink w:history="0" w:anchor="P266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3, 4, 5, 6, 7</w:t>
            </w:r>
          </w:p>
        </w:tc>
      </w:tr>
      <w:tr>
        <w:tc>
          <w:tcPr>
            <w:tcW w:w="45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если </w:t>
            </w:r>
            <w:hyperlink w:history="0" w:anchor="P130" w:tooltip="47">
              <w:r>
                <w:rPr>
                  <w:sz w:val="20"/>
                  <w:color w:val="0000ff"/>
                </w:rPr>
                <w:t xml:space="preserve">стр. 47</w:t>
              </w:r>
            </w:hyperlink>
            <w:r>
              <w:rPr>
                <w:sz w:val="20"/>
              </w:rPr>
              <w:t xml:space="preserve"> + </w:t>
            </w:r>
            <w:hyperlink w:history="0" w:anchor="P136" w:tooltip="49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 = 0, то </w:t>
            </w:r>
            <w:hyperlink w:history="0" w:anchor="P123" w:tooltip="45">
              <w:r>
                <w:rPr>
                  <w:sz w:val="20"/>
                  <w:color w:val="0000ff"/>
                </w:rPr>
                <w:t xml:space="preserve">стр. 45</w:t>
              </w:r>
            </w:hyperlink>
            <w:r>
              <w:rPr>
                <w:sz w:val="20"/>
              </w:rPr>
              <w:t xml:space="preserve">, </w:t>
            </w:r>
            <w:hyperlink w:history="0" w:anchor="P139" w:tooltip="50">
              <w:r>
                <w:rPr>
                  <w:sz w:val="20"/>
                  <w:color w:val="0000ff"/>
                </w:rPr>
                <w:t xml:space="preserve">50</w:t>
              </w:r>
            </w:hyperlink>
            <w:r>
              <w:rPr>
                <w:sz w:val="20"/>
              </w:rPr>
              <w:t xml:space="preserve">, </w:t>
            </w:r>
            <w:hyperlink w:history="0" w:anchor="P142" w:tooltip="51">
              <w:r>
                <w:rPr>
                  <w:sz w:val="20"/>
                  <w:color w:val="0000ff"/>
                </w:rPr>
                <w:t xml:space="preserve">51</w:t>
              </w:r>
            </w:hyperlink>
            <w:r>
              <w:rPr>
                <w:sz w:val="20"/>
              </w:rPr>
              <w:t xml:space="preserve">, </w:t>
            </w:r>
            <w:hyperlink w:history="0" w:anchor="P160" w:tooltip="52">
              <w:r>
                <w:rPr>
                  <w:sz w:val="20"/>
                  <w:color w:val="0000ff"/>
                </w:rPr>
                <w:t xml:space="preserve">52</w:t>
              </w:r>
            </w:hyperlink>
            <w:r>
              <w:rPr>
                <w:sz w:val="20"/>
              </w:rPr>
              <w:t xml:space="preserve">, </w:t>
            </w:r>
            <w:hyperlink w:history="0" w:anchor="P163" w:tooltip="53">
              <w:r>
                <w:rPr>
                  <w:sz w:val="20"/>
                  <w:color w:val="0000ff"/>
                </w:rPr>
                <w:t xml:space="preserve">53</w:t>
              </w:r>
            </w:hyperlink>
            <w:r>
              <w:rPr>
                <w:sz w:val="20"/>
              </w:rPr>
              <w:t xml:space="preserve">, </w:t>
            </w:r>
            <w:hyperlink w:history="0" w:anchor="P166" w:tooltip="54">
              <w:r>
                <w:rPr>
                  <w:sz w:val="20"/>
                  <w:color w:val="0000ff"/>
                </w:rPr>
                <w:t xml:space="preserve">54</w:t>
              </w:r>
            </w:hyperlink>
            <w:r>
              <w:rPr>
                <w:sz w:val="20"/>
              </w:rPr>
              <w:t xml:space="preserve">, </w:t>
            </w:r>
            <w:hyperlink w:history="0" w:anchor="P169" w:tooltip="55">
              <w:r>
                <w:rPr>
                  <w:sz w:val="20"/>
                  <w:color w:val="0000ff"/>
                </w:rPr>
                <w:t xml:space="preserve">55</w:t>
              </w:r>
            </w:hyperlink>
            <w:r>
              <w:rPr>
                <w:sz w:val="20"/>
              </w:rPr>
              <w:t xml:space="preserve">, </w:t>
            </w:r>
            <w:hyperlink w:history="0" w:anchor="P172" w:tooltip="56">
              <w:r>
                <w:rPr>
                  <w:sz w:val="20"/>
                  <w:color w:val="0000ff"/>
                </w:rPr>
                <w:t xml:space="preserve">56</w:t>
              </w:r>
            </w:hyperlink>
            <w:r>
              <w:rPr>
                <w:sz w:val="20"/>
              </w:rPr>
              <w:t xml:space="preserve"> гр. 3 = 0</w:t>
            </w:r>
          </w:p>
        </w:tc>
        <w:tc>
          <w:tcPr>
            <w:tcW w:w="4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по стр. с </w:t>
            </w:r>
            <w:hyperlink w:history="0" w:anchor="P230" w:tooltip="70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 по </w:t>
            </w:r>
            <w:hyperlink w:history="0" w:anchor="P266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5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6</w:t>
            </w:r>
          </w:p>
        </w:tc>
      </w:tr>
      <w:tr>
        <w:tc>
          <w:tcPr>
            <w:tcW w:w="45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w:anchor="P163" w:tooltip="53">
              <w:r>
                <w:rPr>
                  <w:sz w:val="20"/>
                  <w:color w:val="0000ff"/>
                </w:rPr>
                <w:t xml:space="preserve">стр. 53</w:t>
              </w:r>
            </w:hyperlink>
            <w:r>
              <w:rPr>
                <w:sz w:val="20"/>
              </w:rPr>
              <w:t xml:space="preserve"> гр. 3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166" w:tooltip="54">
              <w:r>
                <w:rPr>
                  <w:sz w:val="20"/>
                  <w:color w:val="0000ff"/>
                </w:rPr>
                <w:t xml:space="preserve">стр. 54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стр. с </w:t>
            </w:r>
            <w:hyperlink w:history="0" w:anchor="P108" w:tooltip="40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по </w:t>
            </w:r>
            <w:hyperlink w:history="0" w:anchor="P266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0</w:t>
            </w:r>
          </w:p>
        </w:tc>
      </w:tr>
      <w:tr>
        <w:tc>
          <w:tcPr>
            <w:tcW w:w="45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</w:t>
            </w:r>
            <w:hyperlink w:history="0" w:anchor="P166" w:tooltip="54">
              <w:r>
                <w:rPr>
                  <w:sz w:val="20"/>
                  <w:color w:val="0000ff"/>
                </w:rPr>
                <w:t xml:space="preserve">стр. 54</w:t>
              </w:r>
            </w:hyperlink>
            <w:r>
              <w:rPr>
                <w:sz w:val="20"/>
              </w:rPr>
              <w:t xml:space="preserve"> гр. 3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169" w:tooltip="55">
              <w:r>
                <w:rPr>
                  <w:sz w:val="20"/>
                  <w:color w:val="0000ff"/>
                </w:rPr>
                <w:t xml:space="preserve">стр. 55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18.10.2022 N 707</w:t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18.10.2022 N 707</w:t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793A87AD998590B7BB5F97B8AF1D04D7D9C1EFAF22F1C42A0012708987AA23EF167C5CD9F8FE23D600E909A9B4213C638285432C32EF7D01R0I" TargetMode = "External"/>
	<Relationship Id="rId8" Type="http://schemas.openxmlformats.org/officeDocument/2006/relationships/hyperlink" Target="consultantplus://offline/ref=D6793A87AD998590B7BB5F97B8AF1D04D0D2C3E0A520F1C42A0012708987AA23EF167C5CD8F9FA27D000E909A9B4213C638285432C32EF7D01R0I" TargetMode = "External"/>
	<Relationship Id="rId9" Type="http://schemas.openxmlformats.org/officeDocument/2006/relationships/hyperlink" Target="consultantplus://offline/ref=D6793A87AD998590B7BB5F97B8AF1D04D7D9C3EFA02EF1C42A0012708987AA23FD162450DBFCE021D515BF58EF0ER3I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D6793A87AD998590B7BB5F97B8AF1D04D0D1C5E1A721F1C42A0012708987AA23EF167C5CDBF9F62B805AF90DE0E32820669D9A4032320ERDI" TargetMode = "External"/>
	<Relationship Id="rId13" Type="http://schemas.openxmlformats.org/officeDocument/2006/relationships/hyperlink" Target="consultantplus://offline/ref=D6793A87AD998590B7BB5F97B8AF1D04D0D1C7EFAE2FF1C42A0012708987AA23EF167C5FD8FDF574854FE855EFE5323F668286423003R2I" TargetMode = "External"/>
	<Relationship Id="rId14" Type="http://schemas.openxmlformats.org/officeDocument/2006/relationships/hyperlink" Target="consultantplus://offline/ref=D6793A87AD998590B7BB5F97B8AF1D04D0D3C5E0A520F1C42A0012708987AA23EF167C5EDEFEFE2B805AF90DE0E32820669D9A4032320ERDI" TargetMode = "External"/>
	<Relationship Id="rId15" Type="http://schemas.openxmlformats.org/officeDocument/2006/relationships/hyperlink" Target="consultantplus://offline/ref=D6793A87AD998590B7BB5F97B8AF1D04D7D7C2E6A522F1C42A0012708987AA23EF167C5CD9F8FB26D000E909A9B4213C638285432C32EF7D01R0I" TargetMode = "External"/>
	<Relationship Id="rId16" Type="http://schemas.openxmlformats.org/officeDocument/2006/relationships/hyperlink" Target="consultantplus://offline/ref=D6793A87AD998590B7BB5F97B8AF1D04D0D2CDE5A020F1C42A0012708987AA23EF167C5CD9F8FF26DC00E909A9B4213C638285432C32EF7D01R0I" TargetMode = "External"/>
	<Relationship Id="rId17" Type="http://schemas.openxmlformats.org/officeDocument/2006/relationships/hyperlink" Target="consultantplus://offline/ref=D6793A87AD998590B7BB5F97B8AF1D04D7D8C4E2A025F1C42A0012708987AA23EF167C5CD9F8FC20D400E909A9B4213C638285432C32EF7D01R0I" TargetMode = "External"/>
	<Relationship Id="rId18" Type="http://schemas.openxmlformats.org/officeDocument/2006/relationships/hyperlink" Target="consultantplus://offline/ref=D6793A87AD998590B7BB5F97B8AF1D04D7D7C2E4A224F1C42A0012708987AA23EF167C5CD9F8FE21D600E909A9B4213C638285432C32EF7D01R0I" TargetMode = "External"/>
	<Relationship Id="rId19" Type="http://schemas.openxmlformats.org/officeDocument/2006/relationships/hyperlink" Target="consultantplus://offline/ref=D6793A87AD998590B7BB5F97B8AF1D04D7D7C2E4A224F1C42A0012708987AA23EF167C5CD9F8FE21D600E909A9B4213C638285432C32EF7D01R0I" TargetMode = "External"/>
	<Relationship Id="rId20" Type="http://schemas.openxmlformats.org/officeDocument/2006/relationships/hyperlink" Target="consultantplus://offline/ref=D6793A87AD998590B7BB5F97B8AF1D04D0D2CDE5AF27F1C42A0012708987AA23FD162450DBFCE021D515BF58EF0ER3I" TargetMode = "External"/>
	<Relationship Id="rId21" Type="http://schemas.openxmlformats.org/officeDocument/2006/relationships/hyperlink" Target="consultantplus://offline/ref=D6793A87AD998590B7BB5F97B8AF1D04D7D9C3E0A32EF1C42A0012708987AA23EF167C5CD9F8F821D200E909A9B4213C638285432C32EF7D01R0I" TargetMode = "External"/>
	<Relationship Id="rId22" Type="http://schemas.openxmlformats.org/officeDocument/2006/relationships/hyperlink" Target="consultantplus://offline/ref=D6793A87AD998590B7BB5F97B8AF1D04D0D1C1E7A122F1C42A0012708987AA23EF167C5CD9F8FE21D700E909A9B4213C638285432C32EF7D01R0I" TargetMode = "External"/>
	<Relationship Id="rId23" Type="http://schemas.openxmlformats.org/officeDocument/2006/relationships/hyperlink" Target="consultantplus://offline/ref=D6793A87AD998590B7BB5F97B8AF1D04D0D3C4E6A021F1C42A0012708987AA23FD162450DBFCE021D515BF58EF0ER3I" TargetMode = "External"/>
	<Relationship Id="rId24" Type="http://schemas.openxmlformats.org/officeDocument/2006/relationships/hyperlink" Target="consultantplus://offline/ref=D6793A87AD998590B7BB5F97B8AF1D04D5D8CCE7A426F1C42A0012708987AA23FD162450DBFCE021D515BF58EF0ER3I" TargetMode = "External"/>
	<Relationship Id="rId25" Type="http://schemas.openxmlformats.org/officeDocument/2006/relationships/hyperlink" Target="consultantplus://offline/ref=D6793A87AD998590B7BB5F97B8AF1D04D0D3C4E6A021F1C42A0012708987AA23FD162450DBFCE021D515BF58EF0ER3I" TargetMode = "External"/>
	<Relationship Id="rId26" Type="http://schemas.openxmlformats.org/officeDocument/2006/relationships/hyperlink" Target="consultantplus://offline/ref=D6793A87AD998590B7BB5F97B8AF1D04D0D3C4E6A021F1C42A0012708987AA23FD162450DBFCE021D515BF58EF0ER3I" TargetMode = "External"/>
	<Relationship Id="rId27" Type="http://schemas.openxmlformats.org/officeDocument/2006/relationships/hyperlink" Target="consultantplus://offline/ref=D6793A87AD998590B7BB5F97B8AF1D04D0D3C4E6A021F1C42A0012708987AA23FD162450DBFCE021D515BF58EF0ER3I" TargetMode = "External"/>
	<Relationship Id="rId28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18.10.2022 N 707
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</dc:title>
  <dcterms:created xsi:type="dcterms:W3CDTF">2022-11-24T08:17:51Z</dcterms:created>
</cp:coreProperties>
</file>